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0" w:right="0" w:firstLine="567"/>
        <w:jc w:val="left"/>
        <w:rPr/>
      </w:pPr>
      <w:r>
        <w:rPr>
          <w:rFonts w:cs="Arial" w:ascii="Arial" w:hAnsi="Arial"/>
          <w:b/>
          <w:bCs/>
          <w:sz w:val="28"/>
          <w:szCs w:val="28"/>
          <w:lang w:eastAsia="en-US"/>
        </w:rPr>
        <w:tab/>
      </w:r>
    </w:p>
    <w:p>
      <w:pPr>
        <w:pStyle w:val="Normal"/>
        <w:bidi w:val="0"/>
        <w:spacing w:lineRule="auto" w:line="276" w:before="113" w:after="113"/>
        <w:ind w:left="0" w:right="0" w:firstLine="567"/>
        <w:jc w:val="center"/>
        <w:rPr/>
      </w:pPr>
      <w:r>
        <w:rPr>
          <w:rFonts w:cs="Arial" w:ascii="Arial" w:hAnsi="Arial"/>
          <w:b/>
          <w:bCs/>
          <w:sz w:val="44"/>
          <w:szCs w:val="44"/>
          <w:lang w:eastAsia="en-US"/>
        </w:rPr>
        <w:t>MEMORIAL DESCRITIVO</w:t>
      </w:r>
    </w:p>
    <w:p>
      <w:pPr>
        <w:pStyle w:val="Normal"/>
        <w:bidi w:val="0"/>
        <w:spacing w:lineRule="auto" w:line="276" w:before="113" w:after="113"/>
        <w:ind w:left="0" w:right="0" w:firstLine="567"/>
        <w:jc w:val="center"/>
        <w:rPr/>
      </w:pPr>
      <w:r>
        <w:rPr>
          <w:rFonts w:cs="Arial" w:ascii="Arial" w:hAnsi="Arial"/>
          <w:b/>
          <w:bCs/>
          <w:sz w:val="44"/>
          <w:szCs w:val="44"/>
          <w:lang w:eastAsia="en-US"/>
        </w:rPr>
        <w:t xml:space="preserve"> </w:t>
      </w:r>
    </w:p>
    <w:p>
      <w:pPr>
        <w:pStyle w:val="Normal"/>
        <w:bidi w:val="0"/>
        <w:spacing w:lineRule="auto" w:line="276" w:before="113" w:after="113"/>
        <w:ind w:left="0" w:right="0"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tabs>
          <w:tab w:val="left" w:pos="851" w:leader="none"/>
        </w:tabs>
        <w:spacing w:lineRule="auto" w:line="276" w:before="0" w:after="120"/>
        <w:jc w:val="center"/>
        <w:rPr/>
      </w:pPr>
      <w:r>
        <w:rPr>
          <w:rFonts w:cs="Arial" w:ascii="Arial" w:hAnsi="Arial"/>
          <w:b/>
          <w:color w:val="000000"/>
          <w:sz w:val="28"/>
          <w:szCs w:val="28"/>
        </w:rPr>
        <w:t xml:space="preserve">REFORMA DA COBERTURA CENTRAL DA </w:t>
      </w:r>
    </w:p>
    <w:p>
      <w:pPr>
        <w:pStyle w:val="Normal"/>
        <w:widowControl/>
        <w:tabs>
          <w:tab w:val="left" w:pos="851" w:leader="none"/>
        </w:tabs>
        <w:bidi w:val="0"/>
        <w:spacing w:lineRule="auto" w:line="276" w:before="0" w:after="120"/>
        <w:ind w:left="0" w:right="0" w:hanging="0"/>
        <w:jc w:val="center"/>
        <w:rPr/>
      </w:pPr>
      <w:r>
        <w:rPr>
          <w:rFonts w:eastAsia="Calibri" w:cs="Arial" w:ascii="Arial" w:hAnsi="Arial"/>
          <w:b/>
          <w:color w:val="000000"/>
          <w:sz w:val="28"/>
          <w:szCs w:val="28"/>
          <w:lang w:eastAsia="en-US"/>
        </w:rPr>
        <w:t>EB MAR. OLIMPIO FALCONIERI DA CUNHA</w:t>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pPr>
      <w:r>
        <w:rPr>
          <w:rFonts w:cs="Arial" w:ascii="Arial" w:hAnsi="Arial"/>
          <w:b/>
          <w:bCs/>
          <w:lang w:eastAsia="en-US"/>
        </w:rPr>
        <w:t>JUNHO/2018</w:t>
      </w:r>
      <w:r>
        <w:br w:type="page"/>
      </w:r>
    </w:p>
    <w:p>
      <w:pPr>
        <w:pStyle w:val="Normal"/>
        <w:bidi w:val="0"/>
        <w:spacing w:lineRule="auto" w:line="276" w:before="113" w:after="113"/>
        <w:ind w:left="0" w:right="0" w:firstLine="567"/>
        <w:jc w:val="left"/>
        <w:rPr/>
      </w:pPr>
      <w:r>
        <w:rPr/>
      </w:r>
    </w:p>
    <w:p>
      <w:pPr>
        <w:pStyle w:val="Ttulo1"/>
        <w:bidi w:val="0"/>
        <w:spacing w:lineRule="auto" w:line="276" w:before="113" w:after="113"/>
        <w:ind w:left="0" w:right="0"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0" w:right="0" w:firstLine="567"/>
        <w:jc w:val="left"/>
        <w:rPr/>
      </w:pPr>
      <w:r>
        <w:rPr>
          <w:rFonts w:cs="Arial" w:ascii="Arial" w:hAnsi="Arial"/>
          <w:sz w:val="28"/>
        </w:rPr>
        <w:t>OBJETO</w:t>
      </w:r>
    </w:p>
    <w:p>
      <w:pPr>
        <w:pStyle w:val="Normal"/>
        <w:tabs>
          <w:tab w:val="left" w:pos="851" w:leader="none"/>
        </w:tabs>
        <w:spacing w:lineRule="auto" w:line="276" w:before="0" w:after="120"/>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bookmarkStart w:id="1" w:name="__DdeLink__512_1161674635"/>
      <w:bookmarkEnd w:id="1"/>
      <w:r>
        <w:rPr>
          <w:rFonts w:cs="Arial" w:ascii="Arial" w:hAnsi="Arial"/>
          <w:b/>
          <w:color w:val="000000"/>
          <w:szCs w:val="22"/>
        </w:rPr>
        <w:t>REFORMA E AMPLIAÇÃO DO CEI ELIZABETH MALBURG</w:t>
      </w:r>
      <w:r>
        <w:rPr>
          <w:rFonts w:cs="Arial" w:ascii="Arial" w:hAnsi="Arial"/>
          <w:b/>
          <w:sz w:val="22"/>
          <w:szCs w:val="22"/>
        </w:rPr>
        <w:t xml:space="preserve"> l</w:t>
      </w:r>
      <w:r>
        <w:rPr>
          <w:rFonts w:cs="Arial" w:ascii="Arial" w:hAnsi="Arial"/>
          <w:sz w:val="22"/>
          <w:szCs w:val="22"/>
        </w:rPr>
        <w:t>ocalizado na R. Davi Adão Schmitt, São Vicente - São Vicente, Itajaí – 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firstRow="1" w:noVBand="1" w:lastRow="0" w:firstColumn="1" w:lastColumn="0" w:noHBand="0"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 xml:space="preserve">   </w:t>
            </w:r>
            <w:r>
              <w:rPr>
                <w:rFonts w:cs="Arial" w:ascii="Arial" w:hAnsi="Arial"/>
                <w:sz w:val="22"/>
                <w:szCs w:val="22"/>
              </w:rPr>
              <w:t>627,12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 xml:space="preserve">   </w:t>
            </w:r>
            <w:r>
              <w:rPr>
                <w:rFonts w:cs="Arial" w:ascii="Arial" w:hAnsi="Arial"/>
                <w:sz w:val="22"/>
                <w:szCs w:val="22"/>
              </w:rPr>
              <w:t>98,30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1 pavimento</w:t>
            </w:r>
          </w:p>
        </w:tc>
      </w:tr>
    </w:tbl>
    <w:p>
      <w:pPr>
        <w:pStyle w:val="Normal"/>
        <w:tabs>
          <w:tab w:val="left" w:pos="851" w:leader="none"/>
        </w:tabs>
        <w:bidi w:val="0"/>
        <w:spacing w:lineRule="auto" w:line="276" w:before="0" w:after="120"/>
        <w:ind w:left="0" w:right="0" w:firstLine="567"/>
        <w:jc w:val="both"/>
        <w:rPr>
          <w:rFonts w:ascii="Arial" w:hAnsi="Arial" w:cs="Arial"/>
          <w:b w:val="false"/>
          <w:b w:val="false"/>
          <w:bCs w:val="false"/>
          <w:sz w:val="22"/>
          <w:szCs w:val="22"/>
        </w:rPr>
      </w:pPr>
      <w:r>
        <w:rPr>
          <w:rFonts w:cs="Arial" w:ascii="Arial" w:hAnsi="Arial"/>
          <w:b w:val="false"/>
          <w:bCs w:val="false"/>
          <w:sz w:val="22"/>
          <w:szCs w:val="22"/>
        </w:rPr>
      </w:r>
    </w:p>
    <w:p>
      <w:pPr>
        <w:pStyle w:val="Normal"/>
        <w:bidi w:val="0"/>
        <w:spacing w:lineRule="auto" w:line="276" w:before="113" w:after="113"/>
        <w:ind w:left="0" w:right="0" w:firstLine="567"/>
        <w:jc w:val="left"/>
        <w:rPr/>
      </w:pPr>
      <w:r>
        <w:rPr>
          <w:rFonts w:cs="Arial" w:ascii="Arial" w:hAnsi="Arial"/>
          <w:sz w:val="28"/>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A obra em questão se dá devido a cobertura com telha tipo Kalhetão onde estão localizada a salas de especialista e parte do pátio de ligação entre os blocos estar comprometida por abaulamento causando acumulo de águam, infiltrações e goteiras, não sendo mais possível a manutenção da mesma. Para substituição deste telhado será executado um prolongamento nos mesmos moldes da cobertura do pátio, com estrutura metálica e telha termoacústica, além da substituição dos forros, colocação de calhas e drenagem e execução dos oitoes de vedação nas laterais.</w:t>
      </w:r>
    </w:p>
    <w:p>
      <w:pPr>
        <w:pStyle w:val="Normal"/>
        <w:tabs>
          <w:tab w:val="left" w:pos="851" w:leader="none"/>
        </w:tabs>
        <w:bidi w:val="0"/>
        <w:spacing w:lineRule="auto" w:line="276" w:before="0" w:after="120"/>
        <w:ind w:firstLine="708"/>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8"/>
        </w:rPr>
        <w:t>RESPONSABILIDADE, GARANTIA E RESPEITO AO PROJETO</w:t>
      </w:r>
    </w:p>
    <w:p>
      <w:pPr>
        <w:pStyle w:val="Normal"/>
        <w:bidi w:val="0"/>
        <w:spacing w:lineRule="auto" w:line="276" w:before="113" w:after="113"/>
        <w:ind w:left="0" w:right="0" w:firstLine="567"/>
        <w:jc w:val="both"/>
        <w:rPr/>
      </w:pPr>
      <w:r>
        <w:rPr>
          <w:rFonts w:cs="Arial" w:ascii="Arial" w:hAnsi="Arial"/>
          <w:sz w:val="22"/>
          <w:szCs w:val="22"/>
        </w:rPr>
        <w:t>O presente memorial tem por objetivo estabelecer os requisitos, condições técnicas e administrativas que irão reger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FISCALIZAÇÃO</w:t>
      </w:r>
    </w:p>
    <w:p>
      <w:pPr>
        <w:pStyle w:val="Normal"/>
        <w:bidi w:val="0"/>
        <w:spacing w:lineRule="auto" w:line="276" w:before="113" w:after="113"/>
        <w:ind w:left="0" w:right="0"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both"/>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both"/>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both"/>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both"/>
        <w:rPr>
          <w:rFonts w:cs="Arial"/>
          <w:b w:val="false"/>
          <w:b w:val="false"/>
          <w:bCs/>
          <w:color w:val="00000A"/>
        </w:rPr>
      </w:pPr>
      <w:r>
        <w:rPr>
          <w:rFonts w:cs="Arial"/>
          <w:b w:val="false"/>
          <w:bCs/>
          <w:color w:val="00000A"/>
        </w:rPr>
      </w:r>
    </w:p>
    <w:p>
      <w:pPr>
        <w:pStyle w:val="Ttulo1"/>
        <w:bidi w:val="0"/>
        <w:spacing w:lineRule="auto" w:line="276" w:before="113" w:after="113"/>
        <w:ind w:left="0" w:right="0" w:firstLine="567"/>
        <w:jc w:val="center"/>
        <w:rPr/>
      </w:pPr>
      <w:bookmarkStart w:id="2" w:name="_Toc176231961"/>
      <w:bookmarkEnd w:id="2"/>
      <w:r>
        <w:rPr>
          <w:rFonts w:cs="Arial"/>
          <w:b w:val="false"/>
          <w:bCs/>
          <w:color w:val="00000A"/>
        </w:rPr>
        <w:t>B - DISPOSIÇÕES GERAIS</w:t>
      </w:r>
    </w:p>
    <w:p>
      <w:pPr>
        <w:pStyle w:val="Normal"/>
        <w:bidi w:val="0"/>
        <w:spacing w:lineRule="auto" w:line="276" w:before="113" w:after="113"/>
        <w:ind w:left="0" w:right="0" w:firstLine="567"/>
        <w:jc w:val="both"/>
        <w:rPr/>
      </w:pPr>
      <w:r>
        <w:rPr>
          <w:rFonts w:cs="Arial" w:ascii="Arial" w:hAnsi="Arial"/>
          <w:sz w:val="24"/>
        </w:rPr>
        <w:tab/>
      </w:r>
    </w:p>
    <w:p>
      <w:pPr>
        <w:pStyle w:val="Normal"/>
        <w:bidi w:val="0"/>
        <w:spacing w:lineRule="auto" w:line="276" w:before="113" w:after="113"/>
        <w:ind w:left="0" w:right="0"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pPr>
      <w:r>
        <w:rPr>
          <w:rFonts w:cs="Arial" w:ascii="Arial" w:hAnsi="Arial"/>
          <w:sz w:val="24"/>
          <w:szCs w:val="24"/>
        </w:rPr>
        <w:t>INSTALAÇÃO E ADMINISTRAÇÃO DA OBRA</w:t>
      </w:r>
    </w:p>
    <w:p>
      <w:pPr>
        <w:pStyle w:val="Normal"/>
        <w:bidi w:val="0"/>
        <w:spacing w:lineRule="auto" w:line="276" w:before="113" w:after="113"/>
        <w:ind w:left="0" w:right="0" w:firstLine="567"/>
        <w:jc w:val="both"/>
        <w:rPr/>
      </w:pPr>
      <w:r>
        <w:rPr>
          <w:rFonts w:cs="Arial" w:ascii="Arial" w:hAnsi="Arial"/>
          <w:sz w:val="22"/>
          <w:szCs w:val="22"/>
        </w:rPr>
        <w:t>ADMINISTRAÇÃO DE OBRA</w:t>
      </w:r>
    </w:p>
    <w:p>
      <w:pPr>
        <w:pStyle w:val="Normal"/>
        <w:bidi w:val="0"/>
        <w:spacing w:lineRule="auto" w:line="276" w:before="113" w:after="113"/>
        <w:ind w:left="0" w:right="0"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Seguro de Risco de Engenharia;</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Programa de Condições e Meio-Ambiente de Trabalho na Industria da Construção – PCMAT</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licenças, taxas, alvarás e exigências dos órgãos públicos, relativas à execução das obras e do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execução das obras e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complementação em caso de aditamento contratual;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 transporte de pessoal administrativo e técnico;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transporte de materiais e equipamentos;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alojamentos, estadia e alimentação de pessoal.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andaimes e plataformas necessárias para a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proteções e demais dispositivos de segurança necessários à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tarifas de consumo de água e energia elétrica, para a execução das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vigilância do canteiro de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equipe técnica e administrativa;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controle tecnológico / ensaio dos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apresentação do projeto “As built” no final da obra e relatório fotográfico e cronograma físico da obra por ocasião das medições mensais;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referente ao projeto “As built” (como construído);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0" w:right="0" w:firstLine="567"/>
        <w:jc w:val="center"/>
        <w:rPr/>
      </w:pPr>
      <w:bookmarkStart w:id="3" w:name="_Toc176231962"/>
      <w:bookmarkEnd w:id="3"/>
      <w:r>
        <w:rPr>
          <w:rFonts w:cs="Arial"/>
          <w:b w:val="false"/>
          <w:bCs/>
          <w:color w:val="00000A"/>
        </w:rPr>
        <w:t>C - MEMORIAL DESCRITIVO</w:t>
      </w:r>
    </w:p>
    <w:p>
      <w:pPr>
        <w:pStyle w:val="Style11"/>
        <w:bidi w:val="0"/>
        <w:spacing w:lineRule="auto" w:line="276" w:before="113" w:after="113"/>
        <w:ind w:left="0" w:right="0" w:firstLine="567"/>
        <w:jc w:val="left"/>
        <w:rPr/>
      </w:pPr>
      <w:r>
        <w:rPr>
          <w:rFonts w:cs="Arial" w:ascii="Arial" w:hAnsi="Arial"/>
          <w:sz w:val="22"/>
          <w:szCs w:val="22"/>
        </w:rPr>
        <w:t xml:space="preserve"> </w:t>
      </w:r>
    </w:p>
    <w:p>
      <w:pPr>
        <w:pStyle w:val="Style11"/>
        <w:bidi w:val="0"/>
        <w:spacing w:lineRule="auto" w:line="276" w:before="113" w:after="113"/>
        <w:ind w:left="0" w:right="0" w:firstLine="567"/>
        <w:jc w:val="left"/>
        <w:rPr/>
      </w:pPr>
      <w:r>
        <w:rPr>
          <w:rFonts w:cs="Arial" w:ascii="Arial" w:hAnsi="Arial"/>
          <w:b/>
          <w:sz w:val="22"/>
          <w:szCs w:val="22"/>
        </w:rPr>
        <w:t>1  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0" w:right="0"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0" w:right="0"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0" w:right="0"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0" w:right="0"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0" w:right="0"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Normal"/>
        <w:bidi w:val="0"/>
        <w:spacing w:lineRule="auto" w:line="276" w:before="113" w:after="113"/>
        <w:ind w:left="0" w:right="0" w:firstLine="567"/>
        <w:jc w:val="both"/>
        <w:rPr/>
      </w:pPr>
      <w:r>
        <w:rPr>
          <w:rFonts w:eastAsia="Calibri" w:cs="Arial" w:ascii="Arial" w:hAnsi="Arial"/>
          <w:sz w:val="22"/>
          <w:szCs w:val="22"/>
          <w:lang w:eastAsia="en-US"/>
        </w:rPr>
        <w:t>Cabe à contratada providenciar as instalações sanitárias provisórias e executar a ligação no ramal predial de esgoto existente. .</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t>Devido a alterações no layout interno e no aumento de área ao projeto da unidade  aprovado junto ao corpo de bombeiros, a CONTRATA realizara projeto de readequação do espaço e realizará os trâmites de aprovação com fins de obtenção de Habite-se ao término da obra.</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pPr>
      <w:r>
        <w:rPr>
          <w:rFonts w:cs="Arial" w:ascii="Arial" w:hAnsi="Arial"/>
          <w:b/>
          <w:sz w:val="22"/>
          <w:szCs w:val="22"/>
        </w:rPr>
        <w:t>2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pPr>
      <w:r>
        <w:rPr>
          <w:rFonts w:cs="Arial" w:ascii="Arial" w:hAnsi="Arial"/>
          <w:sz w:val="22"/>
          <w:szCs w:val="22"/>
        </w:rPr>
        <w:t>Corte, destocamento, remoção e transporte de árvores d=&lt;15cm. Deverão ser retiradas e transportadas para um bota-fora previamente licenciado, a critério da CONTRATADA.</w:t>
      </w:r>
    </w:p>
    <w:p>
      <w:pPr>
        <w:pStyle w:val="Normal"/>
        <w:bidi w:val="0"/>
        <w:spacing w:lineRule="auto" w:line="276" w:before="113" w:after="113"/>
        <w:ind w:left="0" w:right="0" w:firstLine="567"/>
        <w:jc w:val="both"/>
        <w:rPr/>
      </w:pPr>
      <w:r>
        <w:rPr>
          <w:rFonts w:cs="Arial" w:ascii="Arial" w:hAnsi="Arial"/>
          <w:b w:val="false"/>
          <w:bCs w:val="false"/>
          <w:sz w:val="22"/>
          <w:szCs w:val="22"/>
        </w:rPr>
        <w:t>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3  MOVIMENTO DE TERRA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 bota fora licenciado. </w:t>
      </w:r>
    </w:p>
    <w:p>
      <w:pPr>
        <w:pStyle w:val="Normal"/>
        <w:bidi w:val="0"/>
        <w:spacing w:lineRule="auto" w:line="276" w:before="113" w:after="113"/>
        <w:ind w:left="0" w:right="0"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no que tange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0" w:right="0"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Style w:val="CharacterStyle2"/>
          <w:rFonts w:cs="Arial" w:ascii="Arial" w:hAnsi="Arial"/>
          <w:b/>
          <w:i w:val="false"/>
          <w:szCs w:val="22"/>
        </w:rPr>
        <w:t>4</w:t>
      </w:r>
      <w:r>
        <w:rPr>
          <w:rStyle w:val="CharacterStyle2"/>
          <w:rFonts w:cs="Arial" w:ascii="Arial" w:hAnsi="Arial"/>
          <w:b/>
          <w:i w:val="false"/>
        </w:rPr>
        <w:t xml:space="preserve">  SUPERESTRUTURA</w:t>
      </w:r>
    </w:p>
    <w:p>
      <w:pPr>
        <w:pStyle w:val="Style8"/>
        <w:bidi w:val="0"/>
        <w:spacing w:lineRule="auto" w:line="276" w:before="113" w:after="113"/>
        <w:ind w:left="0" w:right="0" w:firstLine="567"/>
        <w:jc w:val="left"/>
        <w:rPr>
          <w:rStyle w:val="CharacterStyle2"/>
          <w:rFonts w:ascii="Arial" w:hAnsi="Arial" w:cs="Arial"/>
        </w:rPr>
      </w:pPr>
      <w:r>
        <w:rPr>
          <w:rFonts w:cs="Arial" w:ascii="Arial" w:hAnsi="Arial"/>
        </w:rPr>
      </w:r>
    </w:p>
    <w:p>
      <w:pPr>
        <w:pStyle w:val="Normal"/>
        <w:bidi w:val="0"/>
        <w:spacing w:lineRule="auto" w:line="276" w:before="113" w:after="113"/>
        <w:ind w:left="0" w:right="0" w:firstLine="567"/>
        <w:jc w:val="both"/>
        <w:rPr/>
      </w:pPr>
      <w:r>
        <w:rPr>
          <w:rStyle w:val="CharacterStyle2"/>
          <w:rFonts w:cs="Arial" w:ascii="Arial" w:hAnsi="Arial"/>
          <w:b/>
          <w:i w:val="false"/>
          <w:szCs w:val="22"/>
        </w:rPr>
        <w:t>CONCRETO ARMADO EM ESTRUTURA – FCK = 25 MPA</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0" w:right="0" w:firstLine="567"/>
        <w:jc w:val="both"/>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0" w:right="0" w:firstLine="567"/>
        <w:jc w:val="both"/>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0" w:right="0" w:firstLine="567"/>
        <w:jc w:val="both"/>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0" w:right="0" w:firstLine="567"/>
        <w:jc w:val="both"/>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0" w:right="0" w:firstLine="567"/>
        <w:jc w:val="both"/>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0" w:right="0" w:firstLine="567"/>
        <w:jc w:val="both"/>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Normal"/>
        <w:bidi w:val="0"/>
        <w:spacing w:lineRule="auto" w:line="276" w:before="113" w:after="113"/>
        <w:ind w:left="0" w:right="0" w:firstLine="567"/>
        <w:jc w:val="both"/>
        <w:rPr/>
      </w:pPr>
      <w:r>
        <w:rPr>
          <w:rFonts w:cs="Arial" w:ascii="Arial" w:hAnsi="Arial"/>
          <w:b w:val="false"/>
          <w:bCs w:val="false"/>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Normal"/>
        <w:widowControl/>
        <w:bidi w:val="0"/>
        <w:spacing w:lineRule="auto" w:line="276" w:before="113" w:after="113"/>
        <w:ind w:left="0" w:right="0" w:firstLine="567"/>
        <w:jc w:val="both"/>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rPr>
        <w:t>5</w:t>
      </w:r>
      <w:r>
        <w:rPr>
          <w:rStyle w:val="CharacterStyle2"/>
          <w:rFonts w:cs="Arial" w:ascii="Arial" w:hAnsi="Arial"/>
          <w:b/>
          <w:i w:val="false"/>
          <w:iCs w:val="false"/>
          <w:spacing w:val="2"/>
        </w:rPr>
        <w:t xml:space="preserve">  PAREDES E PAINÉIS</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Normal"/>
        <w:bidi w:val="0"/>
        <w:spacing w:lineRule="auto" w:line="276" w:before="113" w:after="113"/>
        <w:ind w:left="0" w:right="0" w:firstLine="567"/>
        <w:jc w:val="left"/>
        <w:rPr/>
      </w:pPr>
      <w:r>
        <w:rPr>
          <w:rFonts w:cs="Arial" w:ascii="Arial" w:hAnsi="Arial"/>
          <w:b/>
          <w:sz w:val="22"/>
          <w:szCs w:val="22"/>
        </w:rPr>
        <w:t xml:space="preserve">ALVENARIA COM TIJOLO CERÂMICO 8 FUROS </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0" w:right="0"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0" w:right="0" w:firstLine="567"/>
        <w:jc w:val="both"/>
        <w:rPr/>
      </w:pPr>
      <w:r>
        <w:rPr>
          <w:rFonts w:cs="Arial" w:ascii="Arial" w:hAnsi="Arial"/>
          <w:sz w:val="22"/>
          <w:szCs w:val="22"/>
        </w:rPr>
        <w:t>As alvenarias sobre a laje radier de fundação deverão receber aditivo impermeabilizante na argamassa, nas suas 03 primeiras fiadas.</w:t>
      </w:r>
    </w:p>
    <w:p>
      <w:pPr>
        <w:pStyle w:val="Normal"/>
        <w:bidi w:val="0"/>
        <w:spacing w:lineRule="auto" w:line="276" w:before="113" w:after="113"/>
        <w:ind w:left="0" w:right="0" w:firstLine="567"/>
        <w:jc w:val="left"/>
        <w:rPr>
          <w:rStyle w:val="CharacterStyle2"/>
          <w:rFonts w:cs="Arial"/>
          <w:b/>
          <w:b/>
          <w:spacing w:val="2"/>
          <w:szCs w:val="22"/>
        </w:rPr>
      </w:pPr>
      <w:r>
        <w:rPr>
          <w:rFonts w:cs="Arial"/>
          <w:b/>
          <w:spacing w:val="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 xml:space="preserve">6. </w:t>
      </w:r>
      <w:r>
        <w:rPr>
          <w:rStyle w:val="CharacterStyle2"/>
          <w:rFonts w:cs="Arial" w:ascii="Arial" w:hAnsi="Arial"/>
          <w:b/>
          <w:i w:val="false"/>
          <w:iCs w:val="false"/>
          <w:spacing w:val="2"/>
          <w:sz w:val="22"/>
          <w:szCs w:val="22"/>
        </w:rPr>
        <w:t>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Ttulododocumento"/>
        <w:widowControl/>
        <w:numPr>
          <w:ilvl w:val="0"/>
          <w:numId w:val="0"/>
        </w:numPr>
        <w:bidi w:val="0"/>
        <w:spacing w:lineRule="auto" w:line="276" w:before="113" w:after="113"/>
        <w:ind w:left="0" w:right="0" w:firstLine="567"/>
        <w:contextualSpacing/>
        <w:jc w:val="left"/>
        <w:rPr>
          <w:rStyle w:val="CharacterStyle2"/>
          <w:rFonts w:cs="Calibri" w:cstheme="minorHAnsi"/>
          <w:szCs w:val="22"/>
        </w:rPr>
      </w:pPr>
      <w:r>
        <w:rPr/>
      </w:r>
    </w:p>
    <w:p>
      <w:pPr>
        <w:pStyle w:val="Ttulododocumento"/>
        <w:widowControl/>
        <w:numPr>
          <w:ilvl w:val="0"/>
          <w:numId w:val="0"/>
        </w:numPr>
        <w:bidi w:val="0"/>
        <w:spacing w:lineRule="auto" w:line="276" w:before="113" w:after="113"/>
        <w:ind w:left="0" w:right="0" w:firstLine="567"/>
        <w:contextualSpacing/>
        <w:jc w:val="left"/>
        <w:rPr/>
      </w:pPr>
      <w:r>
        <w:rPr>
          <w:rFonts w:cs="Calibri" w:ascii="Arial" w:hAnsi="Arial" w:cstheme="minorHAnsi"/>
          <w:sz w:val="22"/>
          <w:szCs w:val="22"/>
        </w:rPr>
        <w:t>FORRO DE PVC</w:t>
      </w:r>
    </w:p>
    <w:p>
      <w:pPr>
        <w:pStyle w:val="Normal"/>
        <w:bidi w:val="0"/>
        <w:spacing w:lineRule="auto" w:line="276" w:before="113" w:after="113"/>
        <w:ind w:left="0" w:right="0" w:firstLine="567"/>
        <w:jc w:val="both"/>
        <w:rPr/>
      </w:pPr>
      <w:r>
        <w:rPr>
          <w:rFonts w:ascii="Arial" w:hAnsi="Arial"/>
          <w:i w:val="false"/>
          <w:iCs w:val="false"/>
          <w:sz w:val="22"/>
          <w:szCs w:val="22"/>
          <w:lang w:eastAsia="en-US"/>
        </w:rPr>
        <w:t>Material/Especificações</w:t>
      </w:r>
    </w:p>
    <w:p>
      <w:pPr>
        <w:pStyle w:val="ListParagraph"/>
        <w:numPr>
          <w:ilvl w:val="0"/>
          <w:numId w:val="3"/>
        </w:numPr>
        <w:bidi w:val="0"/>
        <w:spacing w:lineRule="auto" w:line="276" w:before="113" w:after="113"/>
        <w:ind w:left="0" w:right="0" w:firstLine="567"/>
        <w:jc w:val="both"/>
        <w:rPr/>
      </w:pPr>
      <w:r>
        <w:rPr>
          <w:rFonts w:ascii="Arial" w:hAnsi="Arial"/>
          <w:sz w:val="22"/>
          <w:szCs w:val="22"/>
        </w:rPr>
        <w:t>forro de pvc branco liso, duplo, 10 x 600 cm;</w:t>
      </w:r>
    </w:p>
    <w:p>
      <w:pPr>
        <w:pStyle w:val="ListParagraph"/>
        <w:numPr>
          <w:ilvl w:val="0"/>
          <w:numId w:val="3"/>
        </w:numPr>
        <w:bidi w:val="0"/>
        <w:spacing w:lineRule="auto" w:line="276" w:before="113" w:after="113"/>
        <w:ind w:left="0" w:right="0" w:firstLine="567"/>
        <w:jc w:val="both"/>
        <w:rPr/>
      </w:pPr>
      <w:r>
        <w:rPr>
          <w:rFonts w:ascii="Arial" w:hAnsi="Arial"/>
          <w:sz w:val="22"/>
          <w:szCs w:val="22"/>
        </w:rPr>
        <w:t>estrutura metálica.</w:t>
      </w:r>
    </w:p>
    <w:p>
      <w:pPr>
        <w:pStyle w:val="Normal"/>
        <w:bidi w:val="0"/>
        <w:spacing w:lineRule="auto" w:line="276" w:before="113" w:after="113"/>
        <w:ind w:left="0" w:right="0" w:firstLine="567"/>
        <w:jc w:val="both"/>
        <w:rPr/>
      </w:pPr>
      <w:r>
        <w:rPr>
          <w:rFonts w:ascii="Arial" w:hAnsi="Arial"/>
          <w:sz w:val="22"/>
          <w:szCs w:val="22"/>
        </w:rPr>
        <w:t xml:space="preserve">O forro de PVC deve ser uniforme, rígido e isento de imperfeições e não deve ficar em contato com fontes de calor superiores a 50°C. </w:t>
      </w:r>
    </w:p>
    <w:p>
      <w:pPr>
        <w:pStyle w:val="Normal"/>
        <w:bidi w:val="0"/>
        <w:spacing w:lineRule="auto" w:line="276" w:before="113" w:after="113"/>
        <w:ind w:left="0" w:right="0" w:firstLine="567"/>
        <w:jc w:val="both"/>
        <w:rPr/>
      </w:pPr>
      <w:r>
        <w:rPr>
          <w:rFonts w:ascii="Arial" w:hAnsi="Arial"/>
          <w:sz w:val="22"/>
          <w:szCs w:val="22"/>
        </w:rPr>
        <w:t>Para tanto as canalizações que porventura passarem sobre as placas do forro e que conduzam fluidos aquecidos, serão adequadamente isoladas com calhas de lã de vidro ou lã de rocha. Deve ser evitado uso de luminárias com lâmpadas incandescentes junto ao forro de PVC.</w:t>
      </w:r>
    </w:p>
    <w:p>
      <w:pPr>
        <w:pStyle w:val="Normal"/>
        <w:bidi w:val="0"/>
        <w:spacing w:lineRule="auto" w:line="276" w:before="113" w:after="113"/>
        <w:ind w:left="0" w:right="0" w:firstLine="567"/>
        <w:jc w:val="both"/>
        <w:rPr/>
      </w:pPr>
      <w:r>
        <w:rPr>
          <w:rFonts w:ascii="Arial" w:hAnsi="Arial"/>
          <w:sz w:val="22"/>
          <w:szCs w:val="22"/>
        </w:rPr>
        <w:t>O armazenamento das placas deve ser feito em local abrigado de poeiras e intempéries e serão empilhadas horizontalmente em pilhas de até 60 (sessenta) placas. Todas as precauções devem ser tomadas para evitar-se que as chapas sejam submetidas a esforços que eventualmente possam ocasionar deformações. Recomendamos o uso de papelão ondulado, lona ou outro material adequado como proteção provisória.</w:t>
      </w:r>
    </w:p>
    <w:p>
      <w:pPr>
        <w:pStyle w:val="Normal"/>
        <w:bidi w:val="0"/>
        <w:spacing w:lineRule="auto" w:line="276" w:before="113" w:after="113"/>
        <w:ind w:left="0" w:right="0" w:firstLine="567"/>
        <w:jc w:val="both"/>
        <w:rPr/>
      </w:pPr>
      <w:r>
        <w:rPr>
          <w:rFonts w:ascii="Arial" w:hAnsi="Arial"/>
          <w:sz w:val="22"/>
          <w:szCs w:val="22"/>
        </w:rPr>
        <w:t xml:space="preserve">As placas serão manuseadas com o máximo de cuidado possível, pois se trata de material de acabamento sensível. As mãos que as manusearão deverão estar sempre </w:t>
      </w:r>
      <w:r>
        <w:rPr>
          <w:rFonts w:ascii="Arial" w:hAnsi="Arial"/>
          <w:b w:val="false"/>
          <w:bCs w:val="false"/>
          <w:i w:val="false"/>
          <w:iCs w:val="false"/>
          <w:sz w:val="22"/>
          <w:szCs w:val="22"/>
        </w:rPr>
        <w:t xml:space="preserve">limpas.  Recomendamos luvas de borracha para evitar que a gordura e o suor das mãos possam impregnar as chapas de forro. </w:t>
      </w:r>
    </w:p>
    <w:p>
      <w:pPr>
        <w:pStyle w:val="Normal"/>
        <w:bidi w:val="0"/>
        <w:spacing w:lineRule="auto" w:line="276" w:before="113" w:after="113"/>
        <w:ind w:left="0" w:right="0" w:firstLine="567"/>
        <w:jc w:val="both"/>
        <w:rPr>
          <w:rFonts w:ascii="Arial" w:hAnsi="Arial"/>
          <w:sz w:val="22"/>
          <w:szCs w:val="22"/>
        </w:rPr>
      </w:pPr>
      <w:r>
        <w:rPr>
          <w:rStyle w:val="CharacterStyle2"/>
          <w:rFonts w:cs="Arial" w:ascii="Arial" w:hAnsi="Arial"/>
          <w:b w:val="false"/>
          <w:bCs w:val="false"/>
          <w:i w:val="false"/>
          <w:iCs w:val="false"/>
          <w:spacing w:val="2"/>
          <w:sz w:val="22"/>
          <w:szCs w:val="22"/>
        </w:rPr>
        <w:t>O comprimento das chapas de forro de PVC será cerca de 5 mm menor do que o vão a ser forrado, em todas as extremidades junto às paredes ou às junções, para permitir a livre dilatação do material.</w:t>
      </w:r>
    </w:p>
    <w:p>
      <w:pPr>
        <w:pStyle w:val="Normal"/>
        <w:bidi w:val="0"/>
        <w:spacing w:lineRule="auto" w:line="276" w:before="113" w:after="113"/>
        <w:ind w:left="0" w:right="0" w:firstLine="567"/>
        <w:jc w:val="both"/>
        <w:rPr>
          <w:rStyle w:val="CharacterStyle2"/>
          <w:rFonts w:ascii="Arial" w:hAnsi="Arial" w:cs="Arial"/>
          <w:b w:val="false"/>
          <w:b w:val="false"/>
          <w:bCs w:val="false"/>
          <w:i w:val="false"/>
          <w:i w:val="false"/>
          <w:iCs w:val="false"/>
          <w:spacing w:val="2"/>
          <w:sz w:val="22"/>
        </w:rPr>
      </w:pPr>
      <w:r>
        <w:rPr>
          <w:rFonts w:cs="Arial" w:ascii="Arial" w:hAnsi="Arial"/>
          <w:b w:val="false"/>
          <w:bCs w:val="false"/>
          <w:i w:val="false"/>
          <w:iCs w:val="false"/>
          <w:spacing w:val="2"/>
          <w:sz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7</w:t>
      </w:r>
      <w:r>
        <w:rPr>
          <w:rStyle w:val="CharacterStyle2"/>
          <w:rFonts w:cs="Arial" w:ascii="Arial" w:hAnsi="Arial"/>
          <w:b/>
          <w:i w:val="false"/>
          <w:iCs w:val="false"/>
          <w:spacing w:val="2"/>
          <w:sz w:val="22"/>
          <w:szCs w:val="22"/>
        </w:rPr>
        <w:t>. COBERTURA</w:t>
      </w:r>
    </w:p>
    <w:p>
      <w:pPr>
        <w:pStyle w:val="Lista"/>
        <w:bidi w:val="0"/>
        <w:spacing w:lineRule="auto" w:line="276" w:before="113" w:after="113"/>
        <w:ind w:left="0" w:right="0" w:firstLine="567"/>
        <w:jc w:val="both"/>
        <w:rPr>
          <w:rStyle w:val="CharacterStyle2"/>
          <w:rFonts w:ascii="Arial" w:hAnsi="Arial" w:cs="Arial"/>
          <w:b/>
          <w:b/>
          <w:color w:val="00000A"/>
          <w:spacing w:val="2"/>
          <w:sz w:val="22"/>
          <w:szCs w:val="22"/>
        </w:rPr>
      </w:pPr>
      <w:r>
        <w:rPr>
          <w:rFonts w:cs="Arial" w:ascii="Arial" w:hAnsi="Arial"/>
          <w:b/>
          <w:color w:val="00000A"/>
          <w:spacing w:val="2"/>
          <w:sz w:val="22"/>
          <w:szCs w:val="22"/>
        </w:rPr>
      </w:r>
    </w:p>
    <w:p>
      <w:pPr>
        <w:pStyle w:val="Normal"/>
        <w:bidi w:val="0"/>
        <w:spacing w:lineRule="auto" w:line="276" w:before="113" w:after="113"/>
        <w:ind w:left="0" w:right="0" w:firstLine="567"/>
        <w:jc w:val="both"/>
        <w:rPr/>
      </w:pPr>
      <w:r>
        <w:rPr>
          <w:rFonts w:cs="Arial" w:ascii="Arial" w:hAnsi="Arial"/>
          <w:b/>
          <w:bCs/>
          <w:sz w:val="22"/>
          <w:szCs w:val="22"/>
        </w:rPr>
        <w:t>COBERTURA METÁLICA</w:t>
      </w:r>
    </w:p>
    <w:p>
      <w:pPr>
        <w:pStyle w:val="Normal"/>
        <w:bidi w:val="0"/>
        <w:spacing w:lineRule="auto" w:line="276" w:before="113" w:after="113"/>
        <w:ind w:left="0" w:right="0" w:firstLine="567"/>
        <w:jc w:val="both"/>
        <w:rPr/>
      </w:pPr>
      <w:r>
        <w:rPr>
          <w:rFonts w:ascii="Arial" w:hAnsi="Arial"/>
          <w:i w:val="false"/>
          <w:iCs w:val="false"/>
          <w:sz w:val="22"/>
          <w:szCs w:val="22"/>
          <w:lang w:eastAsia="en-US"/>
        </w:rPr>
        <w:t>Estrutura metálica para fixação da telha de policarbonato de cobertura do acesso principal.</w:t>
      </w:r>
    </w:p>
    <w:p>
      <w:pPr>
        <w:pStyle w:val="Normal"/>
        <w:bidi w:val="0"/>
        <w:spacing w:lineRule="auto" w:line="276" w:before="113" w:after="113"/>
        <w:ind w:left="0" w:right="0" w:firstLine="567"/>
        <w:jc w:val="both"/>
        <w:rPr/>
      </w:pPr>
      <w:r>
        <w:rPr>
          <w:rFonts w:ascii="Arial" w:hAnsi="Arial"/>
          <w:i w:val="false"/>
          <w:iCs w:val="false"/>
          <w:sz w:val="22"/>
          <w:szCs w:val="22"/>
        </w:rPr>
        <w:t>As presentes especificações fixam as condições, normas e métodos de ensaios a empregar na seleção dos materiais para estrutura metálica e os procedimentos a adotar para execução do Projeto, Fornecimento, Fabricação, Transporte, Montagem e Acabamentos.</w:t>
      </w:r>
    </w:p>
    <w:p>
      <w:pPr>
        <w:pStyle w:val="Normal"/>
        <w:bidi w:val="0"/>
        <w:spacing w:lineRule="auto" w:line="276" w:before="113" w:after="113"/>
        <w:ind w:left="0" w:right="0" w:firstLine="567"/>
        <w:jc w:val="both"/>
        <w:rPr/>
      </w:pPr>
      <w:bookmarkStart w:id="4" w:name="_Toc294705344"/>
      <w:bookmarkStart w:id="5" w:name="_Toc294705566"/>
      <w:bookmarkStart w:id="6" w:name="_Toc355779453"/>
      <w:bookmarkStart w:id="7" w:name="_Toc356877045"/>
      <w:bookmarkStart w:id="8" w:name="_Toc359385160"/>
      <w:bookmarkStart w:id="9" w:name="_Toc367088680"/>
      <w:bookmarkStart w:id="10" w:name="_Toc382104447"/>
      <w:bookmarkStart w:id="11" w:name="_Toc399558648"/>
      <w:bookmarkStart w:id="12" w:name="_Toc399561101"/>
      <w:bookmarkStart w:id="13" w:name="_Toc414347714"/>
      <w:bookmarkStart w:id="14" w:name="_Toc367284397"/>
      <w:bookmarkEnd w:id="4"/>
      <w:bookmarkEnd w:id="5"/>
      <w:bookmarkEnd w:id="6"/>
      <w:bookmarkEnd w:id="7"/>
      <w:bookmarkEnd w:id="8"/>
      <w:bookmarkEnd w:id="9"/>
      <w:bookmarkEnd w:id="10"/>
      <w:bookmarkEnd w:id="11"/>
      <w:bookmarkEnd w:id="12"/>
      <w:bookmarkEnd w:id="13"/>
      <w:bookmarkEnd w:id="14"/>
      <w:r>
        <w:rPr>
          <w:rFonts w:ascii="Arial" w:hAnsi="Arial"/>
          <w:i w:val="false"/>
          <w:iCs w:val="false"/>
          <w:sz w:val="22"/>
          <w:szCs w:val="22"/>
        </w:rPr>
        <w:t>CONTROLE DE QUALIDADE</w:t>
      </w:r>
    </w:p>
    <w:p>
      <w:pPr>
        <w:pStyle w:val="Normal"/>
        <w:bidi w:val="0"/>
        <w:spacing w:lineRule="auto" w:line="276" w:before="113" w:after="113"/>
        <w:ind w:left="0" w:right="0" w:firstLine="567"/>
        <w:jc w:val="both"/>
        <w:rPr/>
      </w:pPr>
      <w:r>
        <w:rPr>
          <w:rFonts w:ascii="Arial" w:hAnsi="Arial"/>
          <w:i w:val="false"/>
          <w:iCs w:val="false"/>
          <w:sz w:val="22"/>
          <w:szCs w:val="22"/>
        </w:rPr>
        <w:t xml:space="preserve">O fabricante da estrutura metálica, deverá fornecer ao </w:t>
      </w:r>
      <w:r>
        <w:rPr>
          <w:rFonts w:ascii="Arial" w:hAnsi="Arial"/>
          <w:b/>
          <w:i w:val="false"/>
          <w:iCs w:val="false"/>
          <w:sz w:val="22"/>
          <w:szCs w:val="22"/>
        </w:rPr>
        <w:t>MUNICÍPIO DE ITAJAÍ</w:t>
      </w:r>
      <w:r>
        <w:rPr>
          <w:rFonts w:ascii="Arial" w:hAnsi="Arial"/>
          <w:i w:val="false"/>
          <w:iCs w:val="false"/>
          <w:sz w:val="22"/>
          <w:szCs w:val="22"/>
        </w:rPr>
        <w:t>, um corpo de prova de cada tipo de perfil juntamente com o certificado de garantia fornecido pela siderúrgica, para cada remessa de material recebido.</w:t>
      </w:r>
    </w:p>
    <w:p>
      <w:pPr>
        <w:pStyle w:val="Normal"/>
        <w:bidi w:val="0"/>
        <w:spacing w:lineRule="auto" w:line="276" w:before="113" w:after="113"/>
        <w:ind w:left="0" w:right="0" w:firstLine="567"/>
        <w:jc w:val="both"/>
        <w:rPr/>
      </w:pPr>
      <w:bookmarkStart w:id="15" w:name="_Toc71431610"/>
      <w:bookmarkStart w:id="16" w:name="_Toc367284398"/>
      <w:bookmarkEnd w:id="15"/>
      <w:bookmarkEnd w:id="16"/>
      <w:r>
        <w:rPr>
          <w:rFonts w:ascii="Arial" w:hAnsi="Arial"/>
          <w:i w:val="false"/>
          <w:iCs w:val="false"/>
          <w:sz w:val="22"/>
          <w:szCs w:val="22"/>
        </w:rPr>
        <w:t>ESCOPO DOS SERVIÇOS:</w:t>
      </w:r>
    </w:p>
    <w:p>
      <w:pPr>
        <w:pStyle w:val="Normal"/>
        <w:bidi w:val="0"/>
        <w:spacing w:lineRule="auto" w:line="276" w:before="113" w:after="113"/>
        <w:ind w:left="0" w:right="0" w:firstLine="567"/>
        <w:jc w:val="both"/>
        <w:rPr/>
      </w:pPr>
      <w:r>
        <w:rPr>
          <w:rFonts w:ascii="Arial" w:hAnsi="Arial"/>
          <w:i w:val="false"/>
          <w:iCs w:val="false"/>
          <w:sz w:val="22"/>
          <w:szCs w:val="22"/>
        </w:rPr>
        <w:t>Os serviços compreendem o projeto executivo, a fabricação, fornecimento e montagem das estruturas metálicas, dos telhamentos de cobertura e fechamentos laterais, das calhas, rufos, sistema de ventilação natural, bem como todos os materiais e acabamentos necessários.</w:t>
      </w:r>
    </w:p>
    <w:p>
      <w:pPr>
        <w:pStyle w:val="Normal"/>
        <w:bidi w:val="0"/>
        <w:spacing w:lineRule="auto" w:line="276" w:before="113" w:after="113"/>
        <w:ind w:left="0" w:right="0" w:firstLine="567"/>
        <w:jc w:val="both"/>
        <w:rPr/>
      </w:pPr>
      <w:bookmarkStart w:id="17" w:name="_Toc385322881"/>
      <w:bookmarkEnd w:id="17"/>
      <w:r>
        <w:rPr>
          <w:rFonts w:ascii="Arial" w:hAnsi="Arial"/>
          <w:i w:val="false"/>
          <w:iCs w:val="false"/>
          <w:sz w:val="22"/>
          <w:szCs w:val="22"/>
        </w:rPr>
        <w:t>FIXAÇÃO DAS TELHAS</w:t>
      </w:r>
    </w:p>
    <w:p>
      <w:pPr>
        <w:pStyle w:val="Normal"/>
        <w:bidi w:val="0"/>
        <w:spacing w:lineRule="auto" w:line="276" w:before="113" w:after="113"/>
        <w:ind w:left="0" w:right="0" w:firstLine="567"/>
        <w:jc w:val="both"/>
        <w:rPr/>
      </w:pPr>
      <w:r>
        <w:rPr>
          <w:rFonts w:ascii="Arial" w:hAnsi="Arial"/>
          <w:i w:val="false"/>
          <w:iCs w:val="false"/>
          <w:sz w:val="22"/>
          <w:szCs w:val="22"/>
        </w:rPr>
        <w:t>A fixação das telhas e rufos deverá obedecer as especificações e recomendações dos fabricantes das telhas.</w:t>
      </w:r>
    </w:p>
    <w:p>
      <w:pPr>
        <w:pStyle w:val="Normal"/>
        <w:bidi w:val="0"/>
        <w:spacing w:lineRule="auto" w:line="276" w:before="113" w:after="113"/>
        <w:ind w:left="0" w:right="0" w:firstLine="567"/>
        <w:jc w:val="both"/>
        <w:rPr/>
      </w:pPr>
      <w:bookmarkStart w:id="18" w:name="_Toc322941483"/>
      <w:bookmarkStart w:id="19" w:name="_Toc322946688"/>
      <w:bookmarkStart w:id="20" w:name="_Toc323013350"/>
      <w:bookmarkStart w:id="21" w:name="_Toc323718233"/>
      <w:bookmarkStart w:id="22" w:name="_Toc324648887"/>
      <w:bookmarkStart w:id="23" w:name="_Toc324652505"/>
      <w:bookmarkStart w:id="24" w:name="_Toc325941934"/>
      <w:bookmarkStart w:id="25" w:name="_Toc359983256"/>
      <w:bookmarkStart w:id="26" w:name="_Toc360331281"/>
      <w:bookmarkStart w:id="27" w:name="_Toc360331482"/>
      <w:bookmarkStart w:id="28" w:name="_Toc360331611"/>
      <w:bookmarkStart w:id="29" w:name="_Toc364685568"/>
      <w:bookmarkStart w:id="30" w:name="_Toc364687928"/>
      <w:bookmarkStart w:id="31" w:name="_Toc453146381"/>
      <w:bookmarkStart w:id="32" w:name="_Toc489242686"/>
      <w:bookmarkStart w:id="33" w:name="_Toc71431621"/>
      <w:bookmarkStart w:id="34" w:name="_Toc367284410"/>
      <w:bookmarkStart w:id="35" w:name="_Toc38532288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ascii="Arial" w:hAnsi="Arial"/>
          <w:i w:val="false"/>
          <w:iCs w:val="false"/>
          <w:sz w:val="22"/>
          <w:szCs w:val="22"/>
        </w:rPr>
        <w:t>DESEMPENO</w:t>
      </w:r>
    </w:p>
    <w:p>
      <w:pPr>
        <w:pStyle w:val="Normal"/>
        <w:bidi w:val="0"/>
        <w:spacing w:lineRule="auto" w:line="276" w:before="113" w:after="113"/>
        <w:ind w:left="0" w:right="0" w:firstLine="567"/>
        <w:jc w:val="both"/>
        <w:rPr/>
      </w:pPr>
      <w:r>
        <w:rPr>
          <w:rFonts w:ascii="Arial" w:hAnsi="Arial"/>
          <w:i w:val="false"/>
          <w:iCs w:val="false"/>
          <w:sz w:val="22"/>
          <w:szCs w:val="22"/>
        </w:rPr>
        <w:t xml:space="preserve">O desempeno dos elementos da estrutura será executado de preferência a frio, sendo que para o desempenamento a quente a temperatura de aquecimento não poderá ultrapassar 650 graus centígrados, e só poderão ser executados com o consentimento do </w:t>
      </w:r>
      <w:r>
        <w:rPr>
          <w:rFonts w:ascii="Arial" w:hAnsi="Arial"/>
          <w:b/>
          <w:i w:val="false"/>
          <w:iCs w:val="false"/>
          <w:sz w:val="22"/>
          <w:szCs w:val="22"/>
        </w:rPr>
        <w:t>MUNICÍPIO DE ITAJAÍ.</w:t>
      </w:r>
    </w:p>
    <w:p>
      <w:pPr>
        <w:pStyle w:val="Normal"/>
        <w:bidi w:val="0"/>
        <w:spacing w:lineRule="auto" w:line="276" w:before="113" w:after="113"/>
        <w:ind w:left="0" w:right="0" w:firstLine="567"/>
        <w:jc w:val="both"/>
        <w:rPr/>
      </w:pPr>
      <w:bookmarkStart w:id="36" w:name="_Toc322941484"/>
      <w:bookmarkStart w:id="37" w:name="_Toc322946689"/>
      <w:bookmarkStart w:id="38" w:name="_Toc323013351"/>
      <w:bookmarkStart w:id="39" w:name="_Toc323718234"/>
      <w:bookmarkStart w:id="40" w:name="_Toc324648888"/>
      <w:bookmarkStart w:id="41" w:name="_Toc324652506"/>
      <w:bookmarkStart w:id="42" w:name="_Toc325941935"/>
      <w:bookmarkStart w:id="43" w:name="_Toc359983257"/>
      <w:bookmarkStart w:id="44" w:name="_Toc360331282"/>
      <w:bookmarkStart w:id="45" w:name="_Toc360331483"/>
      <w:bookmarkStart w:id="46" w:name="_Toc360331612"/>
      <w:bookmarkStart w:id="47" w:name="_Toc364685569"/>
      <w:bookmarkStart w:id="48" w:name="_Toc364687929"/>
      <w:bookmarkStart w:id="49" w:name="_Toc453146382"/>
      <w:bookmarkStart w:id="50" w:name="_Toc489242687"/>
      <w:bookmarkStart w:id="51" w:name="_Toc71431622"/>
      <w:bookmarkStart w:id="52" w:name="_Toc367284411"/>
      <w:bookmarkStart w:id="53" w:name="_Toc38532288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ascii="Arial" w:hAnsi="Arial"/>
          <w:i w:val="false"/>
          <w:iCs w:val="false"/>
          <w:sz w:val="22"/>
          <w:szCs w:val="22"/>
        </w:rPr>
        <w:t>CORTE</w:t>
      </w:r>
    </w:p>
    <w:p>
      <w:pPr>
        <w:pStyle w:val="Normal"/>
        <w:bidi w:val="0"/>
        <w:spacing w:lineRule="auto" w:line="276" w:before="113" w:after="113"/>
        <w:ind w:left="0" w:right="0" w:firstLine="567"/>
        <w:jc w:val="both"/>
        <w:rPr/>
      </w:pPr>
      <w:r>
        <w:rPr>
          <w:rFonts w:ascii="Arial" w:hAnsi="Arial"/>
          <w:i w:val="false"/>
          <w:iCs w:val="false"/>
          <w:sz w:val="22"/>
          <w:szCs w:val="22"/>
        </w:rPr>
        <w:t>Não será permitido o corte a arco elétrico. As peças cortadas deverão ser acabadas, eliminando-se rebarbas, cantos vivos e outras irregularidades com a utilização esmeril.</w:t>
      </w:r>
    </w:p>
    <w:p>
      <w:pPr>
        <w:pStyle w:val="Normal"/>
        <w:bidi w:val="0"/>
        <w:spacing w:lineRule="auto" w:line="276" w:before="113" w:after="113"/>
        <w:ind w:left="0" w:right="0" w:firstLine="567"/>
        <w:jc w:val="both"/>
        <w:rPr/>
      </w:pPr>
      <w:bookmarkStart w:id="54" w:name="_Toc322941485"/>
      <w:bookmarkStart w:id="55" w:name="_Toc322946690"/>
      <w:bookmarkStart w:id="56" w:name="_Toc323013352"/>
      <w:bookmarkStart w:id="57" w:name="_Toc323718235"/>
      <w:bookmarkStart w:id="58" w:name="_Toc324648889"/>
      <w:bookmarkStart w:id="59" w:name="_Toc324652507"/>
      <w:bookmarkStart w:id="60" w:name="_Toc325941936"/>
      <w:bookmarkStart w:id="61" w:name="_Toc359983258"/>
      <w:bookmarkStart w:id="62" w:name="_Toc360331283"/>
      <w:bookmarkStart w:id="63" w:name="_Toc360331484"/>
      <w:bookmarkStart w:id="64" w:name="_Toc360331613"/>
      <w:bookmarkStart w:id="65" w:name="_Toc364685570"/>
      <w:bookmarkStart w:id="66" w:name="_Toc364687930"/>
      <w:bookmarkStart w:id="67" w:name="_Toc453146383"/>
      <w:bookmarkStart w:id="68" w:name="_Toc489242688"/>
      <w:bookmarkStart w:id="69" w:name="_Toc71431623"/>
      <w:bookmarkStart w:id="70" w:name="_Toc367284412"/>
      <w:bookmarkStart w:id="71" w:name="_Toc385322886"/>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ascii="Arial" w:hAnsi="Arial"/>
          <w:i w:val="false"/>
          <w:iCs w:val="false"/>
          <w:sz w:val="22"/>
          <w:szCs w:val="22"/>
        </w:rPr>
        <w:t>SOLDAS</w:t>
      </w:r>
    </w:p>
    <w:p>
      <w:pPr>
        <w:pStyle w:val="Normal"/>
        <w:bidi w:val="0"/>
        <w:spacing w:lineRule="auto" w:line="276" w:before="113" w:after="113"/>
        <w:ind w:left="0" w:right="0" w:firstLine="567"/>
        <w:jc w:val="both"/>
        <w:rPr/>
      </w:pPr>
      <w:r>
        <w:rPr>
          <w:rFonts w:ascii="Arial" w:hAnsi="Arial"/>
          <w:i w:val="false"/>
          <w:iCs w:val="false"/>
          <w:sz w:val="22"/>
          <w:szCs w:val="22"/>
        </w:rPr>
        <w:t>As soldas serão executadas por arco elétrico com a utilização de eletrodos de qualidade estrutural de acordo com as normas NBR 14762:2010 para chapas com espessura até 4,75mm, NBR 8800:2008 para chapas com espessuras maiores, sendo:</w:t>
      </w:r>
    </w:p>
    <w:p>
      <w:pPr>
        <w:pStyle w:val="Normal"/>
        <w:bidi w:val="0"/>
        <w:spacing w:lineRule="auto" w:line="276" w:before="113" w:after="113"/>
        <w:ind w:left="0" w:right="0" w:firstLine="567"/>
        <w:jc w:val="both"/>
        <w:rPr/>
      </w:pPr>
      <w:r>
        <w:rPr>
          <w:rFonts w:ascii="Arial" w:hAnsi="Arial"/>
          <w:i w:val="false"/>
          <w:iCs w:val="false"/>
          <w:sz w:val="22"/>
          <w:szCs w:val="22"/>
        </w:rPr>
        <w:t>Eletrodo revestido E70 XX para todas as soldas.</w:t>
      </w:r>
    </w:p>
    <w:p>
      <w:pPr>
        <w:pStyle w:val="Normal"/>
        <w:bidi w:val="0"/>
        <w:spacing w:lineRule="auto" w:line="276" w:before="113" w:after="113"/>
        <w:ind w:left="0" w:right="0" w:firstLine="567"/>
        <w:jc w:val="both"/>
        <w:rPr/>
      </w:pPr>
      <w:r>
        <w:rPr>
          <w:rFonts w:ascii="Arial" w:hAnsi="Arial"/>
          <w:i w:val="false"/>
          <w:iCs w:val="false"/>
          <w:sz w:val="22"/>
          <w:szCs w:val="22"/>
        </w:rPr>
        <w:t>As superfícies das soldas deverão apresentar acabamento regular, sem porosidade, mordeduras, trincas, crateras, escórias ou respingos.</w:t>
      </w:r>
    </w:p>
    <w:p>
      <w:pPr>
        <w:pStyle w:val="Normal"/>
        <w:bidi w:val="0"/>
        <w:spacing w:lineRule="auto" w:line="276" w:before="113" w:after="113"/>
        <w:ind w:left="0" w:right="0" w:firstLine="567"/>
        <w:jc w:val="both"/>
        <w:rPr/>
      </w:pPr>
      <w:r>
        <w:rPr>
          <w:rFonts w:ascii="Arial" w:hAnsi="Arial"/>
          <w:i w:val="false"/>
          <w:iCs w:val="false"/>
          <w:sz w:val="22"/>
          <w:szCs w:val="22"/>
        </w:rPr>
        <w:t>Todas as soldas terão cordão contínuo e,eventuais retoques deverão ser executados para garantir estanqueidade no cordão.</w:t>
      </w:r>
    </w:p>
    <w:p>
      <w:pPr>
        <w:pStyle w:val="Normal"/>
        <w:bidi w:val="0"/>
        <w:spacing w:lineRule="auto" w:line="276" w:before="113" w:after="113"/>
        <w:ind w:left="0" w:right="0" w:firstLine="567"/>
        <w:jc w:val="both"/>
        <w:rPr/>
      </w:pPr>
      <w:r>
        <w:rPr>
          <w:rFonts w:ascii="Arial" w:hAnsi="Arial"/>
          <w:i w:val="false"/>
          <w:iCs w:val="false"/>
          <w:sz w:val="22"/>
          <w:szCs w:val="22"/>
        </w:rPr>
        <w:t xml:space="preserve">Cada cordão de solda deverá ser verificado com líquido penetrante, para eliminação de falhas, vazios e bolhas de ar. </w:t>
      </w:r>
    </w:p>
    <w:p>
      <w:pPr>
        <w:pStyle w:val="Normal"/>
        <w:bidi w:val="0"/>
        <w:spacing w:lineRule="auto" w:line="276" w:before="113" w:after="113"/>
        <w:ind w:left="0" w:right="0" w:firstLine="567"/>
        <w:jc w:val="both"/>
        <w:rPr/>
      </w:pPr>
      <w:bookmarkStart w:id="72" w:name="_Toc322941486"/>
      <w:bookmarkStart w:id="73" w:name="_Toc322946691"/>
      <w:bookmarkStart w:id="74" w:name="_Toc323013353"/>
      <w:bookmarkStart w:id="75" w:name="_Toc323718236"/>
      <w:bookmarkStart w:id="76" w:name="_Toc324648890"/>
      <w:bookmarkStart w:id="77" w:name="_Toc324652508"/>
      <w:bookmarkStart w:id="78" w:name="_Toc325941937"/>
      <w:bookmarkStart w:id="79" w:name="_Toc359983259"/>
      <w:bookmarkStart w:id="80" w:name="_Toc360331284"/>
      <w:bookmarkStart w:id="81" w:name="_Toc360331485"/>
      <w:bookmarkStart w:id="82" w:name="_Toc360331614"/>
      <w:bookmarkStart w:id="83" w:name="_Toc364685571"/>
      <w:bookmarkStart w:id="84" w:name="_Toc364687931"/>
      <w:bookmarkStart w:id="85" w:name="_Toc453146384"/>
      <w:bookmarkStart w:id="86" w:name="_Toc489242689"/>
      <w:bookmarkStart w:id="87" w:name="_Toc71431624"/>
      <w:bookmarkStart w:id="88" w:name="_Toc367284413"/>
      <w:bookmarkStart w:id="89" w:name="_Toc38532288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Arial" w:hAnsi="Arial"/>
          <w:i w:val="false"/>
          <w:iCs w:val="false"/>
          <w:sz w:val="22"/>
          <w:szCs w:val="22"/>
        </w:rPr>
        <w:t>EMENDAS</w:t>
      </w:r>
    </w:p>
    <w:p>
      <w:pPr>
        <w:pStyle w:val="Normal"/>
        <w:bidi w:val="0"/>
        <w:spacing w:lineRule="auto" w:line="276" w:before="113" w:after="113"/>
        <w:ind w:left="0" w:right="0" w:firstLine="567"/>
        <w:jc w:val="both"/>
        <w:rPr/>
      </w:pPr>
      <w:r>
        <w:rPr>
          <w:rFonts w:ascii="Arial" w:hAnsi="Arial"/>
          <w:i w:val="false"/>
          <w:iCs w:val="false"/>
          <w:sz w:val="22"/>
          <w:szCs w:val="22"/>
        </w:rPr>
        <w:t xml:space="preserve">Os elementos da Estrutura Metálica não poderão ser emendados exceto com autorização do projetista estrutural e do </w:t>
      </w:r>
      <w:r>
        <w:rPr>
          <w:rFonts w:ascii="Arial" w:hAnsi="Arial"/>
          <w:b/>
          <w:i w:val="false"/>
          <w:iCs w:val="false"/>
          <w:sz w:val="22"/>
          <w:szCs w:val="22"/>
        </w:rPr>
        <w:t>MUNICÍPIO DE ITAJAÍ</w:t>
      </w:r>
      <w:r>
        <w:rPr>
          <w:rFonts w:ascii="Arial" w:hAnsi="Arial"/>
          <w:i w:val="false"/>
          <w:iCs w:val="false"/>
          <w:sz w:val="22"/>
          <w:szCs w:val="22"/>
        </w:rPr>
        <w:t>.</w:t>
      </w:r>
    </w:p>
    <w:p>
      <w:pPr>
        <w:pStyle w:val="Normal"/>
        <w:bidi w:val="0"/>
        <w:spacing w:lineRule="auto" w:line="276" w:before="113" w:after="113"/>
        <w:ind w:left="0" w:right="0" w:firstLine="567"/>
        <w:jc w:val="both"/>
        <w:rPr/>
      </w:pPr>
      <w:bookmarkStart w:id="90" w:name="_Toc322941488"/>
      <w:bookmarkStart w:id="91" w:name="_Toc322946693"/>
      <w:bookmarkStart w:id="92" w:name="_Toc323013355"/>
      <w:bookmarkStart w:id="93" w:name="_Toc323718238"/>
      <w:bookmarkStart w:id="94" w:name="_Toc324648892"/>
      <w:bookmarkStart w:id="95" w:name="_Toc324652510"/>
      <w:bookmarkStart w:id="96" w:name="_Toc325941939"/>
      <w:bookmarkStart w:id="97" w:name="_Toc359983261"/>
      <w:bookmarkStart w:id="98" w:name="_Toc360331286"/>
      <w:bookmarkStart w:id="99" w:name="_Toc360331487"/>
      <w:bookmarkStart w:id="100" w:name="_Toc360331616"/>
      <w:bookmarkStart w:id="101" w:name="_Toc364685573"/>
      <w:bookmarkStart w:id="102" w:name="_Toc364687933"/>
      <w:bookmarkStart w:id="103" w:name="_Toc453146385"/>
      <w:bookmarkStart w:id="104" w:name="_Toc489242690"/>
      <w:bookmarkStart w:id="105" w:name="_Toc71431625"/>
      <w:bookmarkStart w:id="106" w:name="_Toc367284414"/>
      <w:bookmarkStart w:id="107" w:name="_Toc38532288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rFonts w:ascii="Arial" w:hAnsi="Arial"/>
          <w:i w:val="false"/>
          <w:iCs w:val="false"/>
          <w:sz w:val="22"/>
          <w:szCs w:val="22"/>
        </w:rPr>
        <w:t>PRÉ MONTAGEM</w:t>
      </w:r>
    </w:p>
    <w:p>
      <w:pPr>
        <w:pStyle w:val="Normal"/>
        <w:bidi w:val="0"/>
        <w:spacing w:lineRule="auto" w:line="276" w:before="113" w:after="113"/>
        <w:ind w:left="0" w:right="0" w:firstLine="567"/>
        <w:jc w:val="both"/>
        <w:rPr/>
      </w:pPr>
      <w:r>
        <w:rPr>
          <w:rFonts w:ascii="Arial" w:hAnsi="Arial"/>
          <w:i w:val="false"/>
          <w:iCs w:val="false"/>
          <w:sz w:val="22"/>
          <w:szCs w:val="22"/>
        </w:rPr>
        <w:t xml:space="preserve">Após a execução da primeira viga e da primeira tesoura, com todos os suportes furos e chapas de bases, deverá ser executada uma pré montagem na fabrica, para uma verificação do </w:t>
      </w:r>
      <w:r>
        <w:rPr>
          <w:rFonts w:ascii="Arial" w:hAnsi="Arial"/>
          <w:b/>
          <w:i w:val="false"/>
          <w:iCs w:val="false"/>
          <w:sz w:val="22"/>
          <w:szCs w:val="22"/>
        </w:rPr>
        <w:t xml:space="preserve">MUNICÍPIO DE ITAJAÍ </w:t>
      </w:r>
      <w:r>
        <w:rPr>
          <w:rFonts w:ascii="Arial" w:hAnsi="Arial"/>
          <w:i w:val="false"/>
          <w:iCs w:val="false"/>
          <w:sz w:val="22"/>
          <w:szCs w:val="22"/>
        </w:rPr>
        <w:t xml:space="preserve"> e somente após liberação poderá ser dado continuidade no restante.</w:t>
      </w:r>
    </w:p>
    <w:p>
      <w:pPr>
        <w:pStyle w:val="Normal"/>
        <w:bidi w:val="0"/>
        <w:spacing w:lineRule="auto" w:line="276" w:before="113" w:after="113"/>
        <w:ind w:left="0" w:right="0" w:firstLine="567"/>
        <w:jc w:val="both"/>
        <w:rPr/>
      </w:pPr>
      <w:bookmarkStart w:id="108" w:name="_Toc453146386"/>
      <w:bookmarkStart w:id="109" w:name="_Toc489242691"/>
      <w:bookmarkStart w:id="110" w:name="_Toc71431626"/>
      <w:bookmarkStart w:id="111" w:name="_Toc367284415"/>
      <w:bookmarkStart w:id="112" w:name="_Toc385322889"/>
      <w:r>
        <w:rPr>
          <w:rFonts w:ascii="Arial" w:hAnsi="Arial"/>
          <w:i w:val="false"/>
          <w:iCs w:val="false"/>
          <w:sz w:val="22"/>
          <w:szCs w:val="22"/>
        </w:rPr>
        <w:t>TRANSPORTE</w:t>
      </w:r>
      <w:bookmarkEnd w:id="108"/>
      <w:bookmarkEnd w:id="109"/>
      <w:bookmarkEnd w:id="110"/>
      <w:bookmarkEnd w:id="111"/>
      <w:bookmarkEnd w:id="112"/>
      <w:r>
        <w:rPr>
          <w:rFonts w:ascii="Arial" w:hAnsi="Arial"/>
          <w:i w:val="false"/>
          <w:iCs w:val="false"/>
          <w:sz w:val="22"/>
          <w:szCs w:val="22"/>
        </w:rPr>
        <w:t xml:space="preserve"> E ESTOCAGEM</w:t>
      </w:r>
    </w:p>
    <w:p>
      <w:pPr>
        <w:pStyle w:val="Normal"/>
        <w:bidi w:val="0"/>
        <w:spacing w:lineRule="auto" w:line="276" w:before="113" w:after="113"/>
        <w:ind w:left="0" w:right="0" w:firstLine="567"/>
        <w:jc w:val="both"/>
        <w:rPr/>
      </w:pPr>
      <w:r>
        <w:rPr>
          <w:rFonts w:ascii="Arial" w:hAnsi="Arial"/>
          <w:i w:val="false"/>
          <w:iCs w:val="false"/>
          <w:sz w:val="22"/>
          <w:szCs w:val="22"/>
        </w:rPr>
        <w:t>As peças que ficarem danificadas por ocasião do transporte e manuseio deverão ser corrigidas ou substituídas de acordo com as exigências do</w:t>
      </w:r>
      <w:r>
        <w:rPr>
          <w:rFonts w:ascii="Arial" w:hAnsi="Arial"/>
          <w:b/>
          <w:i w:val="false"/>
          <w:iCs w:val="false"/>
          <w:sz w:val="22"/>
          <w:szCs w:val="22"/>
        </w:rPr>
        <w:t xml:space="preserve"> MUNICÍPIO DE ITAJAÍ</w:t>
      </w:r>
      <w:r>
        <w:rPr>
          <w:rFonts w:ascii="Arial" w:hAnsi="Arial"/>
          <w:i w:val="false"/>
          <w:iCs w:val="false"/>
          <w:sz w:val="22"/>
          <w:szCs w:val="22"/>
        </w:rPr>
        <w:t>.</w:t>
      </w:r>
    </w:p>
    <w:p>
      <w:pPr>
        <w:pStyle w:val="Normal"/>
        <w:bidi w:val="0"/>
        <w:spacing w:lineRule="auto" w:line="276" w:before="113" w:after="113"/>
        <w:ind w:left="0" w:right="0" w:firstLine="567"/>
        <w:jc w:val="both"/>
        <w:rPr/>
      </w:pPr>
      <w:bookmarkStart w:id="113" w:name="_Toc453146387"/>
      <w:bookmarkStart w:id="114" w:name="_Toc489242692"/>
      <w:bookmarkStart w:id="115" w:name="_Toc71431627"/>
      <w:bookmarkStart w:id="116" w:name="_Toc367284416"/>
      <w:bookmarkStart w:id="117" w:name="_Toc385322890"/>
      <w:bookmarkEnd w:id="113"/>
      <w:bookmarkEnd w:id="114"/>
      <w:bookmarkEnd w:id="115"/>
      <w:bookmarkEnd w:id="116"/>
      <w:bookmarkEnd w:id="117"/>
      <w:r>
        <w:rPr>
          <w:rFonts w:ascii="Arial" w:hAnsi="Arial"/>
          <w:i w:val="false"/>
          <w:iCs w:val="false"/>
          <w:sz w:val="22"/>
          <w:szCs w:val="22"/>
        </w:rPr>
        <w:t>As peças deverão ser armazenadas e protegidas de forma a evitar o acúmulo de água e o contato com o solo.</w:t>
      </w:r>
    </w:p>
    <w:p>
      <w:pPr>
        <w:pStyle w:val="Normal"/>
        <w:bidi w:val="0"/>
        <w:spacing w:lineRule="auto" w:line="276" w:before="113" w:after="113"/>
        <w:ind w:left="0" w:right="0" w:firstLine="567"/>
        <w:jc w:val="both"/>
        <w:rPr/>
      </w:pPr>
      <w:bookmarkStart w:id="118" w:name="_Toc453146388"/>
      <w:bookmarkStart w:id="119" w:name="_Toc489242693"/>
      <w:bookmarkStart w:id="120" w:name="_Toc71431628"/>
      <w:bookmarkStart w:id="121" w:name="_Toc367284417"/>
      <w:bookmarkStart w:id="122" w:name="_Toc385322891"/>
      <w:bookmarkEnd w:id="118"/>
      <w:bookmarkEnd w:id="119"/>
      <w:bookmarkEnd w:id="120"/>
      <w:bookmarkEnd w:id="121"/>
      <w:bookmarkEnd w:id="122"/>
      <w:r>
        <w:rPr>
          <w:rFonts w:ascii="Arial" w:hAnsi="Arial"/>
          <w:i w:val="false"/>
          <w:iCs w:val="false"/>
          <w:sz w:val="22"/>
          <w:szCs w:val="22"/>
        </w:rPr>
        <w:t>MONTAGEM</w:t>
      </w:r>
    </w:p>
    <w:p>
      <w:pPr>
        <w:pStyle w:val="Normal"/>
        <w:bidi w:val="0"/>
        <w:spacing w:lineRule="auto" w:line="276" w:before="113" w:after="113"/>
        <w:ind w:left="0" w:right="0" w:firstLine="567"/>
        <w:jc w:val="both"/>
        <w:rPr/>
      </w:pPr>
      <w:r>
        <w:rPr>
          <w:rFonts w:ascii="Arial" w:hAnsi="Arial"/>
          <w:i w:val="false"/>
          <w:iCs w:val="false"/>
          <w:sz w:val="22"/>
          <w:szCs w:val="22"/>
        </w:rPr>
        <w:t>A montagem deverá ser executada com equipamentos e ferramentas adequadas a complexidade de cada conjunto. Deverão ser tomadas todas as providências necessárias durante a montagem, para que a estrutura metálica não deforme ou sofra tensões adicionais não consideradas em projeto.</w:t>
      </w:r>
    </w:p>
    <w:p>
      <w:pPr>
        <w:pStyle w:val="Normal"/>
        <w:bidi w:val="0"/>
        <w:spacing w:lineRule="auto" w:line="276" w:before="113" w:after="113"/>
        <w:ind w:left="0" w:right="0" w:firstLine="567"/>
        <w:jc w:val="both"/>
        <w:rPr/>
      </w:pPr>
      <w:r>
        <w:rPr>
          <w:rFonts w:ascii="Arial" w:hAnsi="Arial"/>
          <w:sz w:val="22"/>
          <w:szCs w:val="22"/>
        </w:rPr>
        <w:t xml:space="preserve">Todo grauteamento de chumbado poderá ser executado somente após aprovação e liberação pelo </w:t>
      </w:r>
      <w:r>
        <w:rPr>
          <w:rFonts w:ascii="Arial" w:hAnsi="Arial"/>
          <w:b/>
          <w:sz w:val="22"/>
          <w:szCs w:val="22"/>
        </w:rPr>
        <w:t xml:space="preserve">MUNICÍPIO DE ITAJAÍ </w:t>
      </w:r>
      <w:bookmarkStart w:id="123" w:name="_Toc453146389"/>
      <w:bookmarkStart w:id="124" w:name="_Toc489242694"/>
      <w:bookmarkStart w:id="125" w:name="_Toc71431629"/>
      <w:r>
        <w:rPr>
          <w:rFonts w:ascii="Arial" w:hAnsi="Arial"/>
          <w:sz w:val="22"/>
          <w:szCs w:val="22"/>
        </w:rPr>
        <w:t>do conjunto da estrutura montada. O grauteamento será executado com Argamassa de Alta Resistência Inicial, autonivelante, isento de cloretos e componentes metálicos. Preparo da Argamassa e a aplicação deverão seguir rigorosamente as especificações do fabricante.</w:t>
      </w:r>
    </w:p>
    <w:p>
      <w:pPr>
        <w:pStyle w:val="Normal"/>
        <w:bidi w:val="0"/>
        <w:spacing w:lineRule="auto" w:line="276" w:before="113" w:after="113"/>
        <w:ind w:left="0" w:right="0" w:firstLine="567"/>
        <w:jc w:val="both"/>
        <w:rPr/>
      </w:pPr>
      <w:bookmarkStart w:id="126" w:name="_Toc385322892"/>
      <w:r>
        <w:rPr>
          <w:rFonts w:ascii="Arial" w:hAnsi="Arial"/>
          <w:i w:val="false"/>
          <w:iCs w:val="false"/>
          <w:sz w:val="22"/>
          <w:szCs w:val="22"/>
        </w:rPr>
        <w:t>PINTURA</w:t>
      </w:r>
      <w:bookmarkEnd w:id="126"/>
      <w:r>
        <w:rPr>
          <w:rFonts w:ascii="Arial" w:hAnsi="Arial"/>
          <w:i w:val="false"/>
          <w:iCs w:val="false"/>
          <w:sz w:val="22"/>
          <w:szCs w:val="22"/>
        </w:rPr>
        <w:t xml:space="preserve"> </w:t>
      </w:r>
      <w:bookmarkEnd w:id="123"/>
      <w:bookmarkEnd w:id="124"/>
      <w:bookmarkEnd w:id="125"/>
      <w:r>
        <w:rPr>
          <w:rFonts w:ascii="Arial" w:hAnsi="Arial"/>
          <w:i w:val="false"/>
          <w:iCs w:val="false"/>
          <w:sz w:val="22"/>
          <w:szCs w:val="22"/>
        </w:rPr>
        <w:t xml:space="preserve">– </w:t>
      </w:r>
      <w:bookmarkStart w:id="127" w:name="_Toc322941489"/>
      <w:bookmarkStart w:id="128" w:name="_Toc322946694"/>
      <w:bookmarkStart w:id="129" w:name="_Toc323013356"/>
      <w:bookmarkStart w:id="130" w:name="_Toc323718239"/>
      <w:bookmarkStart w:id="131" w:name="_Toc324648893"/>
      <w:bookmarkStart w:id="132" w:name="_Toc324652511"/>
      <w:bookmarkStart w:id="133" w:name="_Toc325941940"/>
      <w:bookmarkStart w:id="134" w:name="_Toc359983262"/>
      <w:bookmarkStart w:id="135" w:name="_Toc360331287"/>
      <w:bookmarkStart w:id="136" w:name="_Toc360331488"/>
      <w:bookmarkStart w:id="137" w:name="_Toc360331617"/>
      <w:bookmarkStart w:id="138" w:name="_Toc364685574"/>
      <w:bookmarkStart w:id="139" w:name="_Toc364687934"/>
      <w:bookmarkStart w:id="140" w:name="_Toc453146390"/>
      <w:bookmarkStart w:id="141" w:name="_Toc489242695"/>
      <w:bookmarkStart w:id="142" w:name="_Toc71431630"/>
      <w:bookmarkStart w:id="143" w:name="_Toc367284418"/>
      <w:bookmarkStart w:id="144" w:name="_Toc385322893"/>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ascii="Arial" w:hAnsi="Arial"/>
          <w:i w:val="false"/>
          <w:iCs w:val="false"/>
          <w:sz w:val="22"/>
          <w:szCs w:val="22"/>
        </w:rPr>
        <w:t>PREPARAÇÃO DA SUPERFÍCIE</w:t>
      </w:r>
    </w:p>
    <w:p>
      <w:pPr>
        <w:pStyle w:val="Normal"/>
        <w:bidi w:val="0"/>
        <w:spacing w:lineRule="auto" w:line="276" w:before="113" w:after="113"/>
        <w:ind w:left="0" w:right="0" w:firstLine="567"/>
        <w:jc w:val="both"/>
        <w:rPr/>
      </w:pPr>
      <w:r>
        <w:rPr>
          <w:rFonts w:ascii="Arial" w:hAnsi="Arial"/>
          <w:sz w:val="22"/>
          <w:szCs w:val="22"/>
        </w:rPr>
        <w:t>Deverá ser feita a remoção de respingos de solda, rebarbas e arremates dos cantos vivos e jateamento abrasivo com jato de areia ou granalha de aço, grau SA  2.1/2 - metal quase branco, conforme norma da Petrobrás n</w:t>
      </w:r>
      <w:r>
        <w:rPr>
          <w:rFonts w:ascii="Arial" w:hAnsi="Arial"/>
          <w:position w:val="6"/>
          <w:sz w:val="22"/>
          <w:szCs w:val="22"/>
        </w:rPr>
        <w:t>o</w:t>
      </w:r>
      <w:r>
        <w:rPr>
          <w:rFonts w:ascii="Arial" w:hAnsi="Arial"/>
          <w:sz w:val="22"/>
          <w:szCs w:val="22"/>
        </w:rPr>
        <w:t xml:space="preserve"> 9  -  Limpeza de Superfícies de Aço com Jato Abrasivo ou norma Sueca Swedish Institution SIS 05590-1967.</w:t>
      </w:r>
    </w:p>
    <w:p>
      <w:pPr>
        <w:pStyle w:val="Normal"/>
        <w:bidi w:val="0"/>
        <w:spacing w:lineRule="auto" w:line="276" w:before="113" w:after="113"/>
        <w:ind w:left="0" w:right="0" w:firstLine="567"/>
        <w:jc w:val="both"/>
        <w:rPr/>
      </w:pPr>
      <w:r>
        <w:rPr>
          <w:rFonts w:ascii="Arial" w:hAnsi="Arial"/>
          <w:sz w:val="22"/>
          <w:szCs w:val="22"/>
        </w:rPr>
        <w:t>As peças que não atingirem o grau de jateamento necessário deverão ser rejateadas.</w:t>
      </w:r>
    </w:p>
    <w:p>
      <w:pPr>
        <w:pStyle w:val="Normal"/>
        <w:bidi w:val="0"/>
        <w:spacing w:lineRule="auto" w:line="276" w:before="113" w:after="113"/>
        <w:ind w:left="0" w:right="0" w:firstLine="567"/>
        <w:jc w:val="both"/>
        <w:rPr/>
      </w:pPr>
      <w:r>
        <w:rPr>
          <w:rFonts w:ascii="Arial" w:hAnsi="Arial"/>
          <w:sz w:val="22"/>
          <w:szCs w:val="22"/>
        </w:rPr>
        <w:t>A superfície metálica deverá estar seca, e isenta de óleos, graxas, poeiras ou outros contaminantes. Utilizar luvas limpas no manuseio das peças.</w:t>
      </w:r>
    </w:p>
    <w:p>
      <w:pPr>
        <w:pStyle w:val="Normal"/>
        <w:bidi w:val="0"/>
        <w:spacing w:lineRule="auto" w:line="276" w:before="113" w:after="113"/>
        <w:ind w:left="0" w:right="0" w:firstLine="567"/>
        <w:jc w:val="both"/>
        <w:rPr/>
      </w:pPr>
      <w:r>
        <w:rPr>
          <w:rFonts w:ascii="Arial" w:hAnsi="Arial"/>
          <w:sz w:val="22"/>
          <w:szCs w:val="22"/>
        </w:rPr>
        <w:t>Tinta de fundo: primerepoxídico, 1 demão com espessura de 75 µm, deverá ser executada dentro do limite de exposição do metal, conforme normas acima referidas.</w:t>
      </w:r>
    </w:p>
    <w:p>
      <w:pPr>
        <w:pStyle w:val="Normal"/>
        <w:bidi w:val="0"/>
        <w:spacing w:lineRule="auto" w:line="276" w:before="113" w:after="113"/>
        <w:ind w:left="0" w:right="0" w:firstLine="567"/>
        <w:jc w:val="both"/>
        <w:rPr/>
      </w:pPr>
      <w:bookmarkStart w:id="145" w:name="_Toc367284419"/>
      <w:bookmarkStart w:id="146" w:name="_Toc385322894"/>
      <w:bookmarkEnd w:id="145"/>
      <w:bookmarkEnd w:id="146"/>
      <w:r>
        <w:rPr>
          <w:rFonts w:ascii="Arial" w:hAnsi="Arial"/>
          <w:i w:val="false"/>
          <w:iCs w:val="false"/>
          <w:sz w:val="22"/>
          <w:szCs w:val="22"/>
        </w:rPr>
        <w:t>PINTURA – PROCEDIMENTOS</w:t>
      </w:r>
    </w:p>
    <w:p>
      <w:pPr>
        <w:pStyle w:val="Normal"/>
        <w:bidi w:val="0"/>
        <w:spacing w:lineRule="auto" w:line="276" w:before="113" w:after="113"/>
        <w:ind w:left="0" w:right="0" w:firstLine="567"/>
        <w:jc w:val="both"/>
        <w:rPr>
          <w:rFonts w:ascii="Arial" w:hAnsi="Arial"/>
          <w:sz w:val="22"/>
          <w:szCs w:val="22"/>
        </w:rPr>
      </w:pPr>
      <w:bookmarkStart w:id="147" w:name="_Toc322941490"/>
      <w:bookmarkStart w:id="148" w:name="_Toc322946695"/>
      <w:bookmarkStart w:id="149" w:name="_Toc323013357"/>
      <w:bookmarkStart w:id="150" w:name="_Toc323718240"/>
      <w:bookmarkStart w:id="151" w:name="_Toc324648894"/>
      <w:bookmarkStart w:id="152" w:name="_Toc324652512"/>
      <w:bookmarkStart w:id="153" w:name="_Toc325941941"/>
      <w:bookmarkStart w:id="154" w:name="_Toc359983263"/>
      <w:bookmarkStart w:id="155" w:name="_Toc360331288"/>
      <w:bookmarkStart w:id="156" w:name="_Toc360331489"/>
      <w:bookmarkStart w:id="157" w:name="_Toc360331618"/>
      <w:bookmarkStart w:id="158" w:name="_Toc364685575"/>
      <w:bookmarkStart w:id="159" w:name="_Toc364687935"/>
      <w:bookmarkStart w:id="160" w:name="_Toc453146391"/>
      <w:bookmarkStart w:id="161" w:name="_Toc489242696"/>
      <w:bookmarkStart w:id="162" w:name="_Toc71431631"/>
      <w:bookmarkStart w:id="163" w:name="_Toc322941490"/>
      <w:bookmarkStart w:id="164" w:name="_Toc322946695"/>
      <w:bookmarkStart w:id="165" w:name="_Toc323013357"/>
      <w:bookmarkStart w:id="166" w:name="_Toc323718240"/>
      <w:bookmarkStart w:id="167" w:name="_Toc324648894"/>
      <w:bookmarkStart w:id="168" w:name="_Toc324652512"/>
      <w:bookmarkStart w:id="169" w:name="_Toc325941941"/>
      <w:bookmarkStart w:id="170" w:name="_Toc359983263"/>
      <w:bookmarkStart w:id="171" w:name="_Toc360331288"/>
      <w:bookmarkStart w:id="172" w:name="_Toc360331489"/>
      <w:bookmarkStart w:id="173" w:name="_Toc360331618"/>
      <w:bookmarkStart w:id="174" w:name="_Toc364685575"/>
      <w:bookmarkStart w:id="175" w:name="_Toc364687935"/>
      <w:bookmarkStart w:id="176" w:name="_Toc453146391"/>
      <w:bookmarkStart w:id="177" w:name="_Toc489242696"/>
      <w:bookmarkStart w:id="178" w:name="_Toc71431631"/>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rFonts w:ascii="Arial" w:hAnsi="Arial"/>
          <w:sz w:val="22"/>
          <w:szCs w:val="22"/>
        </w:rPr>
      </w:r>
    </w:p>
    <w:p>
      <w:pPr>
        <w:pStyle w:val="Normal"/>
        <w:bidi w:val="0"/>
        <w:spacing w:lineRule="auto" w:line="276" w:before="113" w:after="113"/>
        <w:ind w:left="0" w:right="0" w:firstLine="567"/>
        <w:jc w:val="both"/>
        <w:rPr/>
      </w:pPr>
      <w:r>
        <w:rPr>
          <w:rFonts w:ascii="Arial" w:hAnsi="Arial"/>
          <w:sz w:val="22"/>
          <w:szCs w:val="22"/>
        </w:rPr>
        <w:t>A pintura deverá ser executada com equipamentos adequados para o sistema bem como a utilização de medidor de filme úmido e seco e higrômetro para controle de umidade. Toda a aplicação se dará na área da fabricação em local e ambiente adequado. Eventuais retoques serão executados  em  galpões fechados na obra em condições adequadas.</w:t>
      </w:r>
    </w:p>
    <w:p>
      <w:pPr>
        <w:pStyle w:val="Normal"/>
        <w:bidi w:val="0"/>
        <w:spacing w:lineRule="auto" w:line="276" w:before="113" w:after="113"/>
        <w:ind w:left="0" w:right="0" w:firstLine="567"/>
        <w:jc w:val="both"/>
        <w:rPr/>
      </w:pPr>
      <w:r>
        <w:rPr>
          <w:rFonts w:ascii="Arial" w:hAnsi="Arial"/>
          <w:sz w:val="22"/>
          <w:szCs w:val="22"/>
        </w:rPr>
        <w:t>Não poderá ser executada nenhuma pintura com umidade relativa do ar (U.R.A.) acima de 85%.</w:t>
      </w:r>
    </w:p>
    <w:p>
      <w:pPr>
        <w:pStyle w:val="Normal"/>
        <w:bidi w:val="0"/>
        <w:spacing w:lineRule="auto" w:line="276" w:before="113" w:after="113"/>
        <w:ind w:left="0" w:right="0" w:firstLine="567"/>
        <w:jc w:val="both"/>
        <w:rPr/>
      </w:pPr>
      <w:r>
        <w:rPr>
          <w:rFonts w:ascii="Arial" w:hAnsi="Arial"/>
          <w:sz w:val="22"/>
          <w:szCs w:val="22"/>
        </w:rPr>
        <w:t>Grau mínimo de aderência GR1, X1, Y1 (ABNT).</w:t>
      </w:r>
    </w:p>
    <w:p>
      <w:pPr>
        <w:pStyle w:val="Normal"/>
        <w:bidi w:val="0"/>
        <w:spacing w:lineRule="auto" w:line="276" w:before="113" w:after="113"/>
        <w:ind w:left="0" w:right="0" w:firstLine="567"/>
        <w:jc w:val="both"/>
        <w:rPr/>
      </w:pPr>
      <w:r>
        <w:rPr>
          <w:rFonts w:ascii="Arial" w:hAnsi="Arial"/>
          <w:sz w:val="22"/>
          <w:szCs w:val="22"/>
        </w:rPr>
        <w:t>As áreas consideradas com adesão insuficiente deverão ser rejateadas e pintadas.</w:t>
      </w:r>
    </w:p>
    <w:p>
      <w:pPr>
        <w:pStyle w:val="Normal"/>
        <w:bidi w:val="0"/>
        <w:spacing w:lineRule="auto" w:line="276" w:before="113" w:after="113"/>
        <w:ind w:left="0" w:right="0" w:firstLine="567"/>
        <w:jc w:val="both"/>
        <w:rPr/>
      </w:pPr>
      <w:r>
        <w:rPr>
          <w:rFonts w:ascii="Arial" w:hAnsi="Arial"/>
          <w:sz w:val="22"/>
          <w:szCs w:val="22"/>
        </w:rPr>
        <w:t>Nas áreas onde for constatado espessura menor que a estabelecida, deverá ser aplicada uma demão adicional.</w:t>
      </w:r>
    </w:p>
    <w:p>
      <w:pPr>
        <w:pStyle w:val="Normal"/>
        <w:bidi w:val="0"/>
        <w:spacing w:lineRule="auto" w:line="276" w:before="113" w:after="113"/>
        <w:ind w:left="0" w:right="0" w:firstLine="567"/>
        <w:jc w:val="both"/>
        <w:rPr/>
      </w:pPr>
      <w:r>
        <w:rPr>
          <w:rFonts w:ascii="Arial" w:hAnsi="Arial"/>
          <w:sz w:val="22"/>
          <w:szCs w:val="22"/>
        </w:rPr>
        <w:t xml:space="preserve">As tintas deverão ser aplicadas de acordo com as especificações do fabricante em qualquer dúvida, ou esclarecimentos consultar o representante Técnico do Fabricante da tinta. As frestas em peças sobrepostas deverão ser vedadas com solda ou massa de vedação a ser aprovada pelo fabricante da tinta e pelo </w:t>
      </w:r>
      <w:r>
        <w:rPr>
          <w:rFonts w:ascii="Arial" w:hAnsi="Arial"/>
          <w:b/>
          <w:sz w:val="22"/>
          <w:szCs w:val="22"/>
        </w:rPr>
        <w:t>MUNICÍPIO DE ITAJAÍ</w:t>
      </w:r>
      <w:r>
        <w:rPr>
          <w:rFonts w:ascii="Arial" w:hAnsi="Arial"/>
          <w:sz w:val="22"/>
          <w:szCs w:val="22"/>
        </w:rPr>
        <w:t>.</w:t>
      </w:r>
    </w:p>
    <w:p>
      <w:pPr>
        <w:pStyle w:val="Normal"/>
        <w:bidi w:val="0"/>
        <w:spacing w:lineRule="auto" w:line="276" w:before="113" w:after="113"/>
        <w:ind w:left="0" w:right="0" w:firstLine="567"/>
        <w:jc w:val="both"/>
        <w:rPr/>
      </w:pPr>
      <w:r>
        <w:rPr>
          <w:rFonts w:ascii="Arial" w:hAnsi="Arial"/>
          <w:sz w:val="22"/>
          <w:szCs w:val="22"/>
        </w:rPr>
        <w:t>Eventuais reparos dos danos ocasionados por transporte e manuseio serão corrigidos com o lixamento da área atingida e aplicação da pintura conforme especificação do fabricante.</w:t>
      </w:r>
    </w:p>
    <w:p>
      <w:pPr>
        <w:pStyle w:val="Normal"/>
        <w:bidi w:val="0"/>
        <w:spacing w:lineRule="auto" w:line="276" w:before="113" w:after="113"/>
        <w:ind w:left="0" w:right="0" w:firstLine="567"/>
        <w:jc w:val="both"/>
        <w:rPr/>
      </w:pPr>
      <w:bookmarkStart w:id="179" w:name="_Toc367284420"/>
      <w:bookmarkStart w:id="180" w:name="_Toc385322895"/>
      <w:bookmarkEnd w:id="179"/>
      <w:bookmarkEnd w:id="180"/>
      <w:r>
        <w:rPr>
          <w:rFonts w:ascii="Arial" w:hAnsi="Arial"/>
          <w:i w:val="false"/>
          <w:iCs w:val="false"/>
          <w:sz w:val="22"/>
          <w:szCs w:val="22"/>
        </w:rPr>
        <w:t>SISTEMA DE PINTURA</w:t>
      </w:r>
    </w:p>
    <w:p>
      <w:pPr>
        <w:pStyle w:val="NormalIndent"/>
        <w:bidi w:val="0"/>
        <w:spacing w:lineRule="auto" w:line="276" w:before="113" w:after="113"/>
        <w:ind w:left="0" w:right="0" w:firstLine="567"/>
        <w:jc w:val="both"/>
        <w:rPr/>
      </w:pPr>
      <w:r>
        <w:rPr>
          <w:rFonts w:ascii="Arial" w:hAnsi="Arial"/>
          <w:sz w:val="22"/>
          <w:szCs w:val="22"/>
        </w:rPr>
        <w:t>Estruturas metálicas protegidas – Código PT1</w:t>
      </w:r>
    </w:p>
    <w:p>
      <w:pPr>
        <w:pStyle w:val="Normal"/>
        <w:bidi w:val="0"/>
        <w:spacing w:lineRule="auto" w:line="276" w:before="113" w:after="113"/>
        <w:ind w:left="0" w:right="0" w:firstLine="567"/>
        <w:jc w:val="both"/>
        <w:rPr/>
      </w:pPr>
      <w:r>
        <w:rPr>
          <w:rFonts w:ascii="Arial" w:hAnsi="Arial"/>
          <w:sz w:val="22"/>
          <w:szCs w:val="22"/>
        </w:rPr>
        <w:t>Pintura eletrostática a pó, com resinas em epóxi puro, com espessura de 100 microns, na cor branca RAL 9003, escada marinheiro cor amarelo segurança.</w:t>
      </w:r>
    </w:p>
    <w:p>
      <w:pPr>
        <w:pStyle w:val="Normal"/>
        <w:bidi w:val="0"/>
        <w:spacing w:lineRule="auto" w:line="276" w:before="113" w:after="113"/>
        <w:ind w:left="0" w:right="0" w:firstLine="567"/>
        <w:jc w:val="both"/>
        <w:rPr/>
      </w:pPr>
      <w:r>
        <w:rPr>
          <w:rFonts w:cs="Calibri" w:ascii="Arial" w:hAnsi="Arial" w:cstheme="minorHAnsi"/>
          <w:sz w:val="22"/>
          <w:szCs w:val="22"/>
        </w:rPr>
        <w:t xml:space="preserve">TELHA TRAPEZOIDAL </w:t>
      </w:r>
      <w:r>
        <w:rPr>
          <w:rFonts w:cs="Calibri" w:ascii="Arial" w:hAnsi="Arial" w:cstheme="minorHAnsi"/>
          <w:sz w:val="22"/>
          <w:szCs w:val="22"/>
        </w:rPr>
        <w:t>TERMOACUSTICA</w:t>
      </w:r>
    </w:p>
    <w:p>
      <w:pPr>
        <w:pStyle w:val="ListParagraph"/>
        <w:numPr>
          <w:ilvl w:val="0"/>
          <w:numId w:val="4"/>
        </w:numPr>
        <w:bidi w:val="0"/>
        <w:spacing w:lineRule="auto" w:line="276" w:before="113" w:after="113"/>
        <w:ind w:left="0" w:right="0" w:firstLine="567"/>
        <w:jc w:val="left"/>
        <w:rPr/>
      </w:pPr>
      <w:r>
        <w:rPr>
          <w:rFonts w:ascii="Arial" w:hAnsi="Arial"/>
          <w:sz w:val="22"/>
          <w:szCs w:val="22"/>
        </w:rPr>
        <w:t>Telha de aço trapezoidal galvanizado, 0,5mm pré pintada nas duas faces na cor azul.</w:t>
      </w:r>
    </w:p>
    <w:p>
      <w:pPr>
        <w:pStyle w:val="Normal"/>
        <w:bidi w:val="0"/>
        <w:spacing w:lineRule="auto" w:line="276" w:before="113" w:after="113"/>
        <w:ind w:left="0" w:right="0" w:firstLine="567"/>
        <w:jc w:val="both"/>
        <w:rPr/>
      </w:pPr>
      <w:r>
        <w:rPr>
          <w:rFonts w:cs="Arial" w:ascii="Arial" w:hAnsi="Arial"/>
          <w:color w:val="00000A"/>
          <w:sz w:val="22"/>
          <w:szCs w:val="22"/>
          <w:lang w:eastAsia="en-US"/>
        </w:rPr>
        <w:t>A estrutura será com perfis metálicos, em aço patinável (A-588) com jateamento abrasivo e pintura com tinta PU na cor cinza, sobre fundo epóxi. Sua instalação, necessidade de sobreposição e demais especificações devem seguir as recomendações do fabricante.</w:t>
      </w:r>
    </w:p>
    <w:p>
      <w:pPr>
        <w:pStyle w:val="Normal"/>
        <w:bidi w:val="0"/>
        <w:spacing w:lineRule="auto" w:line="276" w:before="113" w:after="113"/>
        <w:ind w:left="0" w:right="0" w:firstLine="567"/>
        <w:jc w:val="both"/>
        <w:rPr>
          <w:rFonts w:ascii="Arial" w:hAnsi="Arial" w:cs="Arial"/>
          <w:color w:val="00000A"/>
          <w:sz w:val="22"/>
          <w:szCs w:val="22"/>
          <w:lang w:eastAsia="en-US"/>
        </w:rPr>
      </w:pPr>
      <w:r>
        <w:rPr/>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CALHAS E RUFOS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Materiais empregados:</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Rufos de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Calhas em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Rebites e silicone.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emendas dos rufos e das calhas deverão ter no mínimo 150 mm de sobreposição, e as calhas deverão ter declividade mínima de 0,5%.</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Normal"/>
        <w:bidi w:val="0"/>
        <w:spacing w:lineRule="auto" w:line="276" w:before="113" w:after="113"/>
        <w:ind w:left="0" w:right="0" w:firstLine="567"/>
        <w:jc w:val="both"/>
        <w:rPr>
          <w:rStyle w:val="CharacterStyle2"/>
          <w:rFonts w:ascii="Arial" w:hAnsi="Arial" w:cs="Arial"/>
          <w:b w:val="false"/>
          <w:b w:val="false"/>
          <w:bCs w:val="false"/>
          <w:i w:val="false"/>
          <w:i w:val="false"/>
          <w:iCs w:val="false"/>
          <w:color w:val="00000A"/>
          <w:spacing w:val="2"/>
          <w:sz w:val="22"/>
          <w:szCs w:val="22"/>
        </w:rPr>
      </w:pPr>
      <w:r>
        <w:rPr>
          <w:rFonts w:cs="Arial" w:ascii="Arial" w:hAnsi="Arial"/>
          <w:b w:val="false"/>
          <w:bCs w:val="false"/>
          <w:i w:val="false"/>
          <w:iCs w:val="false"/>
          <w:color w:val="00000A"/>
          <w:spacing w:val="2"/>
          <w:sz w:val="22"/>
          <w:szCs w:val="22"/>
        </w:rPr>
      </w:r>
    </w:p>
    <w:p>
      <w:pPr>
        <w:pStyle w:val="Normal"/>
        <w:bidi w:val="0"/>
        <w:spacing w:lineRule="auto" w:line="276" w:before="113" w:after="113"/>
        <w:ind w:left="0" w:right="0" w:firstLine="567"/>
        <w:jc w:val="both"/>
        <w:rPr/>
      </w:pPr>
      <w:r>
        <w:rPr>
          <w:rFonts w:cs="Arial" w:ascii="Arial" w:hAnsi="Arial"/>
          <w:b/>
          <w:bCs/>
          <w:i w:val="false"/>
          <w:iCs w:val="false"/>
          <w:sz w:val="22"/>
          <w:szCs w:val="22"/>
        </w:rPr>
        <w:t>8</w:t>
      </w:r>
      <w:r>
        <w:rPr>
          <w:rFonts w:cs="Arial" w:ascii="Arial" w:hAnsi="Arial"/>
          <w:b/>
          <w:bCs/>
          <w:i w:val="false"/>
          <w:iCs w:val="false"/>
          <w:sz w:val="22"/>
          <w:szCs w:val="22"/>
        </w:rPr>
        <w:t>. PINTURA</w:t>
      </w:r>
    </w:p>
    <w:p>
      <w:pPr>
        <w:pStyle w:val="Normal"/>
        <w:bidi w:val="0"/>
        <w:spacing w:lineRule="auto" w:line="276" w:before="113" w:after="113"/>
        <w:ind w:left="0" w:right="0" w:firstLine="567"/>
        <w:jc w:val="both"/>
        <w:rPr>
          <w:rFonts w:cs="Arial"/>
          <w:b/>
          <w:b/>
          <w:bCs/>
        </w:rPr>
      </w:pPr>
      <w:r>
        <w:rPr>
          <w:rFonts w:cs="Arial"/>
          <w:b/>
          <w:bCs/>
        </w:rPr>
      </w:r>
    </w:p>
    <w:p>
      <w:pPr>
        <w:pStyle w:val="Normal"/>
        <w:bidi w:val="0"/>
        <w:spacing w:lineRule="auto" w:line="276" w:before="113" w:after="113"/>
        <w:ind w:left="0" w:right="0" w:firstLine="567"/>
        <w:jc w:val="both"/>
        <w:rPr/>
      </w:pPr>
      <w:r>
        <w:rPr>
          <w:rFonts w:cs="Arial" w:ascii="Arial" w:hAnsi="Arial"/>
          <w:sz w:val="22"/>
          <w:szCs w:val="22"/>
        </w:rPr>
        <w:t xml:space="preserve">As paredes internas, externas serão pintadas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juntamente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juntamente com a fiscalização de obras antes do início dos serviços de pintura.</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0" w:right="0"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0" w:right="0"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0" w:right="0"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0" w:right="0"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0" w:right="0"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cs="Arial"/>
          <w:b/>
          <w:b/>
          <w:sz w:val="22"/>
          <w:szCs w:val="22"/>
        </w:rPr>
      </w:pPr>
      <w:r>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22. SERVIÇOS FINAIS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2"/>
          <w:szCs w:val="22"/>
        </w:rPr>
        <w:t>LIMPEZA DA OBRA</w:t>
      </w:r>
    </w:p>
    <w:p>
      <w:pPr>
        <w:pStyle w:val="Normal"/>
        <w:bidi w:val="0"/>
        <w:spacing w:lineRule="auto" w:line="276" w:before="113" w:after="113"/>
        <w:ind w:left="0" w:right="0"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0" w:right="0"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0" w:right="0"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0" w:right="0"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0" w:right="0"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0" w:right="0"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0" w:right="0"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pPr>
      <w:r>
        <w:rPr>
          <w:rFonts w:cs="Arial" w:ascii="Arial" w:hAnsi="Arial"/>
          <w:b/>
          <w:sz w:val="22"/>
          <w:szCs w:val="22"/>
        </w:rPr>
        <w:t>Arq. Elmir Bortolanza</w:t>
      </w:r>
    </w:p>
    <w:p>
      <w:pPr>
        <w:pStyle w:val="Normal"/>
        <w:bidi w:val="0"/>
        <w:spacing w:lineRule="auto" w:line="276" w:before="113" w:after="113"/>
        <w:ind w:left="0" w:right="0" w:firstLine="567"/>
        <w:jc w:val="center"/>
        <w:rPr/>
      </w:pPr>
      <w:r>
        <w:rPr>
          <w:rFonts w:cs="Arial" w:ascii="Arial" w:hAnsi="Arial"/>
          <w:sz w:val="18"/>
          <w:szCs w:val="18"/>
        </w:rPr>
        <w:t>Gerente de Projetos Arquitetônicos</w:t>
      </w:r>
    </w:p>
    <w:p>
      <w:pPr>
        <w:pStyle w:val="Normal"/>
        <w:bidi w:val="0"/>
        <w:spacing w:lineRule="auto" w:line="276" w:before="113" w:after="113"/>
        <w:ind w:left="0" w:right="0" w:firstLine="567"/>
        <w:jc w:val="center"/>
        <w:rPr/>
      </w:pPr>
      <w:r>
        <w:rPr>
          <w:rFonts w:cs="Arial" w:ascii="Arial" w:hAnsi="Arial"/>
          <w:sz w:val="18"/>
          <w:szCs w:val="18"/>
        </w:rPr>
        <w:t>Matricula: 1.484.602</w:t>
      </w:r>
    </w:p>
    <w:sectPr>
      <w:headerReference w:type="default" r:id="rId2"/>
      <w:footerReference w:type="default" r:id="rId3"/>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49">
              <wp:simplePos x="0" y="0"/>
              <wp:positionH relativeFrom="column">
                <wp:posOffset>27305</wp:posOffset>
              </wp:positionH>
              <wp:positionV relativeFrom="margin">
                <wp:posOffset>8340725</wp:posOffset>
              </wp:positionV>
              <wp:extent cx="579755" cy="333375"/>
              <wp:effectExtent l="0" t="0" r="0" b="0"/>
              <wp:wrapNone/>
              <wp:docPr id="2" name="Figura1"/>
              <a:graphic xmlns:a="http://schemas.openxmlformats.org/drawingml/2006/main">
                <a:graphicData uri="http://schemas.microsoft.com/office/word/2010/wordprocessingShape">
                  <wps:wsp>
                    <wps:cNvSpPr/>
                    <wps:spPr>
                      <a:xfrm>
                        <a:off x="0" y="0"/>
                        <a:ext cx="579240" cy="33264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55pt;height:26.1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25">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495" y="0"/>
              <wp:lineTo x="-495" y="20379"/>
              <wp:lineTo x="21600" y="20379"/>
              <wp:lineTo x="21600" y="0"/>
              <wp:lineTo x="-495" y="0"/>
            </wp:wrapPolygon>
          </wp:wrapTight>
          <wp:docPr id="1"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character" w:styleId="ListLabel259">
    <w:name w:val="ListLabel 259"/>
    <w:qFormat/>
    <w:rPr>
      <w:rFonts w:cs="Symbol"/>
      <w:sz w:val="22"/>
    </w:rPr>
  </w:style>
  <w:style w:type="character" w:styleId="ListLabel260">
    <w:name w:val="ListLabel 260"/>
    <w:qFormat/>
    <w:rPr>
      <w:rFonts w:cs="Symbol"/>
      <w:sz w:val="22"/>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ascii="Arial" w:hAnsi="Arial" w:cs="OpenSymbol"/>
      <w:sz w:val="22"/>
    </w:rPr>
  </w:style>
  <w:style w:type="character" w:styleId="ListLabel270">
    <w:name w:val="ListLabel 270"/>
    <w:qFormat/>
    <w:rPr>
      <w:rFonts w:cs="OpenSymbol"/>
    </w:rPr>
  </w:style>
  <w:style w:type="character" w:styleId="ListLabel271">
    <w:name w:val="ListLabel 271"/>
    <w:qFormat/>
    <w:rPr>
      <w:rFonts w:cs="OpenSymbol"/>
    </w:rPr>
  </w:style>
  <w:style w:type="character" w:styleId="ListLabel272">
    <w:name w:val="ListLabel 272"/>
    <w:qFormat/>
    <w:rPr>
      <w:rFonts w:cs="OpenSymbol"/>
    </w:rPr>
  </w:style>
  <w:style w:type="character" w:styleId="ListLabel273">
    <w:name w:val="ListLabel 273"/>
    <w:qFormat/>
    <w:rPr>
      <w:rFonts w:cs="OpenSymbol"/>
    </w:rPr>
  </w:style>
  <w:style w:type="character" w:styleId="ListLabel274">
    <w:name w:val="ListLabel 274"/>
    <w:qFormat/>
    <w:rPr>
      <w:rFonts w:cs="OpenSymbol"/>
    </w:rPr>
  </w:style>
  <w:style w:type="character" w:styleId="ListLabel275">
    <w:name w:val="ListLabel 275"/>
    <w:qFormat/>
    <w:rPr>
      <w:rFonts w:cs="OpenSymbol"/>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Symbol"/>
      <w:sz w:val="22"/>
    </w:rPr>
  </w:style>
  <w:style w:type="character" w:styleId="ListLabel279">
    <w:name w:val="ListLabel 279"/>
    <w:qFormat/>
    <w:rPr>
      <w:rFonts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ascii="Arial" w:hAnsi="Arial" w:cs="OpenSymbol"/>
      <w:sz w:val="22"/>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cs="OpenSymbol"/>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paragraph" w:styleId="NormalIndent">
    <w:name w:val="Normal Indent"/>
    <w:basedOn w:val="Normal"/>
    <w:qFormat/>
    <w:pPr>
      <w:ind w:left="708"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1247</TotalTime>
  <Application>LibreOffice/5.2.4.2$Windows_x86 LibreOffice_project/3d5603e1122f0f102b62521720ab13a38a4e0eb0</Application>
  <Pages>24</Pages>
  <Words>8582</Words>
  <Characters>48569</Characters>
  <CharactersWithSpaces>56960</CharactersWithSpaces>
  <Paragraphs>330</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2018-06-11T17:06:18Z</cp:lastPrinted>
  <dcterms:modified xsi:type="dcterms:W3CDTF">2018-06-27T13:47:25Z</dcterms:modified>
  <cp:revision>12</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